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D508" w14:textId="4E49419F" w:rsidR="00E352AA" w:rsidRPr="007E469E" w:rsidRDefault="00AF2A6E" w:rsidP="006E7156">
      <w:pPr>
        <w:spacing w:after="3840"/>
        <w:jc w:val="center"/>
        <w:rPr>
          <w:sz w:val="24"/>
        </w:rPr>
      </w:pPr>
      <w:r>
        <w:rPr>
          <w:noProof/>
          <w:sz w:val="24"/>
          <w:lang w:eastAsia="pl-PL"/>
        </w:rPr>
        <w:drawing>
          <wp:inline distT="0" distB="0" distL="0" distR="0" wp14:anchorId="796C3CA1" wp14:editId="126F3FEB">
            <wp:extent cx="5760720" cy="80467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UnijneFE_PC-MIiR--UE-EFRR.jpg"/>
                    <pic:cNvPicPr/>
                  </pic:nvPicPr>
                  <pic:blipFill>
                    <a:blip r:embed="rId8">
                      <a:extLst>
                        <a:ext uri="{28A0092B-C50C-407E-A947-70E740481C1C}">
                          <a14:useLocalDpi xmlns:a14="http://schemas.microsoft.com/office/drawing/2010/main" val="0"/>
                        </a:ext>
                      </a:extLst>
                    </a:blip>
                    <a:stretch>
                      <a:fillRect/>
                    </a:stretch>
                  </pic:blipFill>
                  <pic:spPr>
                    <a:xfrm>
                      <a:off x="0" y="0"/>
                      <a:ext cx="5760720" cy="804672"/>
                    </a:xfrm>
                    <a:prstGeom prst="rect">
                      <a:avLst/>
                    </a:prstGeom>
                  </pic:spPr>
                </pic:pic>
              </a:graphicData>
            </a:graphic>
          </wp:inline>
        </w:drawing>
      </w:r>
    </w:p>
    <w:p w14:paraId="30CB3E51" w14:textId="77777777" w:rsidR="002F60DC" w:rsidRDefault="002F60DC" w:rsidP="00B81671">
      <w:pPr>
        <w:jc w:val="center"/>
        <w:rPr>
          <w:rFonts w:ascii="Arial" w:hAnsi="Arial" w:cs="Arial"/>
          <w:b/>
          <w:sz w:val="24"/>
          <w:szCs w:val="24"/>
        </w:rPr>
      </w:pP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r>
        <w:rPr>
          <w:rFonts w:ascii="Arial" w:hAnsi="Arial" w:cs="Arial"/>
          <w:b/>
          <w:sz w:val="24"/>
          <w:szCs w:val="24"/>
        </w:rPr>
        <w:t xml:space="preserve">Katalog </w:t>
      </w:r>
      <w:r w:rsidR="00BE3CB8">
        <w:rPr>
          <w:rFonts w:ascii="Arial" w:hAnsi="Arial" w:cs="Arial"/>
          <w:b/>
          <w:sz w:val="24"/>
          <w:szCs w:val="24"/>
        </w:rPr>
        <w:t xml:space="preserve">wydatków </w:t>
      </w:r>
      <w:r>
        <w:rPr>
          <w:rFonts w:ascii="Arial" w:hAnsi="Arial" w:cs="Arial"/>
          <w:b/>
          <w:sz w:val="24"/>
          <w:szCs w:val="24"/>
        </w:rPr>
        <w:t>kwalifikowalnych</w:t>
      </w:r>
    </w:p>
    <w:p w14:paraId="00227BED" w14:textId="77777777" w:rsidR="002F60DC" w:rsidRDefault="002F60DC" w:rsidP="00B81671">
      <w:pPr>
        <w:jc w:val="center"/>
        <w:rPr>
          <w:rFonts w:ascii="Arial" w:hAnsi="Arial" w:cs="Arial"/>
          <w:b/>
          <w:sz w:val="24"/>
          <w:szCs w:val="24"/>
        </w:rPr>
      </w:pPr>
      <w:r>
        <w:rPr>
          <w:rFonts w:ascii="Arial" w:hAnsi="Arial" w:cs="Arial"/>
          <w:b/>
          <w:sz w:val="24"/>
          <w:szCs w:val="24"/>
        </w:rPr>
        <w:t xml:space="preserve"> w projektach realizowanych </w:t>
      </w:r>
      <w:r w:rsidR="00BE3CB8">
        <w:rPr>
          <w:rFonts w:ascii="Arial" w:hAnsi="Arial" w:cs="Arial"/>
          <w:b/>
          <w:sz w:val="24"/>
          <w:szCs w:val="24"/>
        </w:rPr>
        <w:t xml:space="preserve">w ramach II osi priorytetowej </w:t>
      </w:r>
    </w:p>
    <w:bookmarkEnd w:id="0"/>
    <w:bookmarkEnd w:id="1"/>
    <w:p w14:paraId="45F8E60D" w14:textId="77777777" w:rsidR="00E352AA" w:rsidRPr="00B81671" w:rsidRDefault="007005C1" w:rsidP="00B81671">
      <w:pPr>
        <w:jc w:val="center"/>
        <w:rPr>
          <w:sz w:val="24"/>
          <w:szCs w:val="24"/>
        </w:rPr>
      </w:pPr>
      <w:r w:rsidRPr="00B81671">
        <w:rPr>
          <w:rFonts w:ascii="Arial" w:hAnsi="Arial" w:cs="Arial"/>
          <w:b/>
          <w:sz w:val="24"/>
          <w:szCs w:val="24"/>
        </w:rPr>
        <w:t>Program</w:t>
      </w:r>
      <w:r w:rsidR="00BE3CB8">
        <w:rPr>
          <w:rFonts w:ascii="Arial" w:hAnsi="Arial" w:cs="Arial"/>
          <w:b/>
          <w:sz w:val="24"/>
          <w:szCs w:val="24"/>
        </w:rPr>
        <w:t>u</w:t>
      </w:r>
      <w:r w:rsidRPr="00B81671">
        <w:rPr>
          <w:rFonts w:ascii="Arial" w:hAnsi="Arial" w:cs="Arial"/>
          <w:b/>
          <w:sz w:val="24"/>
          <w:szCs w:val="24"/>
        </w:rPr>
        <w:t xml:space="preserve"> Operacyjn</w:t>
      </w:r>
      <w:r w:rsidR="00BE3CB8">
        <w:rPr>
          <w:rFonts w:ascii="Arial" w:hAnsi="Arial" w:cs="Arial"/>
          <w:b/>
          <w:sz w:val="24"/>
          <w:szCs w:val="24"/>
        </w:rPr>
        <w:t>ego</w:t>
      </w:r>
      <w:r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2"/>
      <w:bookmarkEnd w:id="3"/>
      <w:bookmarkEnd w:id="4"/>
      <w:bookmarkEnd w:id="5"/>
      <w:bookmarkEnd w:id="6"/>
      <w:bookmarkEnd w:id="7"/>
      <w:bookmarkEnd w:id="8"/>
      <w:bookmarkEnd w:id="9"/>
      <w:permStart w:id="1156397010" w:edGrp="everyone"/>
      <w:permEnd w:id="1156397010"/>
    </w:p>
    <w:p w14:paraId="789E47FA" w14:textId="77777777" w:rsidR="00E352AA" w:rsidRPr="00B81671" w:rsidRDefault="00E352AA" w:rsidP="006E7156">
      <w:pPr>
        <w:spacing w:after="4560"/>
        <w:jc w:val="center"/>
        <w:rPr>
          <w:rFonts w:ascii="Arial" w:hAnsi="Arial" w:cs="Arial"/>
          <w:b/>
          <w:bCs/>
          <w:i/>
          <w:iCs/>
          <w:color w:val="000000"/>
          <w:sz w:val="24"/>
          <w:szCs w:val="24"/>
        </w:rPr>
      </w:pPr>
    </w:p>
    <w:p w14:paraId="6B3C4671" w14:textId="3AE7C1B1"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9E5688" w:rsidRPr="007E469E">
        <w:rPr>
          <w:b/>
          <w:bCs/>
          <w:i/>
          <w:iCs/>
          <w:color w:val="000000"/>
        </w:rPr>
        <w:t>,</w:t>
      </w:r>
      <w:r w:rsidR="009E5688">
        <w:rPr>
          <w:b/>
          <w:bCs/>
          <w:i/>
          <w:iCs/>
          <w:color w:val="000000"/>
        </w:rPr>
        <w:t xml:space="preserve"> </w:t>
      </w:r>
      <w:r w:rsidR="0064321F">
        <w:rPr>
          <w:b/>
          <w:bCs/>
          <w:i/>
          <w:iCs/>
          <w:color w:val="000000"/>
        </w:rPr>
        <w:t xml:space="preserve">14 </w:t>
      </w:r>
      <w:r w:rsidR="005803AD">
        <w:rPr>
          <w:b/>
          <w:bCs/>
          <w:i/>
          <w:iCs/>
          <w:color w:val="000000"/>
        </w:rPr>
        <w:t>sierp</w:t>
      </w:r>
      <w:r w:rsidR="0064321F">
        <w:rPr>
          <w:b/>
          <w:bCs/>
          <w:i/>
          <w:iCs/>
          <w:color w:val="000000"/>
        </w:rPr>
        <w:t>nia</w:t>
      </w:r>
      <w:r w:rsidR="005803AD">
        <w:rPr>
          <w:b/>
          <w:bCs/>
          <w:i/>
          <w:iCs/>
          <w:color w:val="000000"/>
        </w:rPr>
        <w:t xml:space="preserve"> </w:t>
      </w:r>
      <w:r w:rsidR="00CF0209" w:rsidRPr="007E469E">
        <w:rPr>
          <w:b/>
          <w:bCs/>
          <w:i/>
          <w:iCs/>
          <w:color w:val="000000"/>
        </w:rPr>
        <w:t>20</w:t>
      </w:r>
      <w:r w:rsidR="00F60ECD">
        <w:rPr>
          <w:b/>
          <w:bCs/>
          <w:i/>
          <w:iCs/>
          <w:color w:val="000000"/>
        </w:rPr>
        <w:t>20</w:t>
      </w:r>
      <w:r w:rsidR="00CF0209" w:rsidRPr="007E469E">
        <w:rPr>
          <w:b/>
          <w:bCs/>
          <w:i/>
          <w:iCs/>
          <w:color w:val="000000"/>
        </w:rPr>
        <w:t xml:space="preserve"> r.</w:t>
      </w:r>
    </w:p>
    <w:p w14:paraId="02674A60" w14:textId="77777777"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14:paraId="4F9CF8F3" w14:textId="77777777"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14:paraId="6051A2A2" w14:textId="4CB2D7AF" w:rsidR="00EB2C27"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10542514" w:history="1">
            <w:r w:rsidR="00EB2C27" w:rsidRPr="001526F1">
              <w:rPr>
                <w:rStyle w:val="Hipercze"/>
              </w:rPr>
              <w:t>Wykaz skrótów</w:t>
            </w:r>
            <w:r w:rsidR="00EB2C27">
              <w:rPr>
                <w:webHidden/>
              </w:rPr>
              <w:tab/>
            </w:r>
            <w:r w:rsidR="00EB2C27">
              <w:rPr>
                <w:webHidden/>
              </w:rPr>
              <w:fldChar w:fldCharType="begin"/>
            </w:r>
            <w:r w:rsidR="00EB2C27">
              <w:rPr>
                <w:webHidden/>
              </w:rPr>
              <w:instrText xml:space="preserve"> PAGEREF _Toc10542514 \h </w:instrText>
            </w:r>
            <w:r w:rsidR="00EB2C27">
              <w:rPr>
                <w:webHidden/>
              </w:rPr>
            </w:r>
            <w:r w:rsidR="00EB2C27">
              <w:rPr>
                <w:webHidden/>
              </w:rPr>
              <w:fldChar w:fldCharType="separate"/>
            </w:r>
            <w:r w:rsidR="002311CC">
              <w:rPr>
                <w:webHidden/>
              </w:rPr>
              <w:t>3</w:t>
            </w:r>
            <w:r w:rsidR="00EB2C27">
              <w:rPr>
                <w:webHidden/>
              </w:rPr>
              <w:fldChar w:fldCharType="end"/>
            </w:r>
          </w:hyperlink>
        </w:p>
        <w:p w14:paraId="36D90C4D" w14:textId="040925E0" w:rsidR="00EB2C27" w:rsidRDefault="00B758DF">
          <w:pPr>
            <w:pStyle w:val="Spistreci1"/>
            <w:rPr>
              <w:rFonts w:asciiTheme="minorHAnsi" w:hAnsiTheme="minorHAnsi" w:cstheme="minorBidi"/>
              <w:b w:val="0"/>
            </w:rPr>
          </w:pPr>
          <w:hyperlink w:anchor="_Toc10542515" w:history="1">
            <w:r w:rsidR="00EB2C27" w:rsidRPr="001526F1">
              <w:rPr>
                <w:rStyle w:val="Hipercze"/>
              </w:rPr>
              <w:t>1.</w:t>
            </w:r>
            <w:r w:rsidR="00EB2C27">
              <w:rPr>
                <w:rFonts w:asciiTheme="minorHAnsi" w:hAnsiTheme="minorHAnsi" w:cstheme="minorBidi"/>
                <w:b w:val="0"/>
              </w:rPr>
              <w:tab/>
            </w:r>
            <w:r w:rsidR="00EB2C27" w:rsidRPr="001526F1">
              <w:rPr>
                <w:rStyle w:val="Hipercze"/>
              </w:rPr>
              <w:t>Rozdział - Słowniczek pojęć</w:t>
            </w:r>
            <w:r w:rsidR="00EB2C27">
              <w:rPr>
                <w:webHidden/>
              </w:rPr>
              <w:tab/>
            </w:r>
            <w:r w:rsidR="00EB2C27">
              <w:rPr>
                <w:webHidden/>
              </w:rPr>
              <w:fldChar w:fldCharType="begin"/>
            </w:r>
            <w:r w:rsidR="00EB2C27">
              <w:rPr>
                <w:webHidden/>
              </w:rPr>
              <w:instrText xml:space="preserve"> PAGEREF _Toc10542515 \h </w:instrText>
            </w:r>
            <w:r w:rsidR="00EB2C27">
              <w:rPr>
                <w:webHidden/>
              </w:rPr>
            </w:r>
            <w:r w:rsidR="00EB2C27">
              <w:rPr>
                <w:webHidden/>
              </w:rPr>
              <w:fldChar w:fldCharType="separate"/>
            </w:r>
            <w:r w:rsidR="002311CC">
              <w:rPr>
                <w:webHidden/>
              </w:rPr>
              <w:t>4</w:t>
            </w:r>
            <w:r w:rsidR="00EB2C27">
              <w:rPr>
                <w:webHidden/>
              </w:rPr>
              <w:fldChar w:fldCharType="end"/>
            </w:r>
          </w:hyperlink>
        </w:p>
        <w:p w14:paraId="3FB9AB95" w14:textId="6DFEB8EC" w:rsidR="00EB2C27" w:rsidRDefault="00B758DF">
          <w:pPr>
            <w:pStyle w:val="Spistreci1"/>
            <w:rPr>
              <w:rFonts w:asciiTheme="minorHAnsi" w:hAnsiTheme="minorHAnsi" w:cstheme="minorBidi"/>
              <w:b w:val="0"/>
            </w:rPr>
          </w:pPr>
          <w:hyperlink w:anchor="_Toc10542516" w:history="1">
            <w:r w:rsidR="00EB2C27" w:rsidRPr="001526F1">
              <w:rPr>
                <w:rStyle w:val="Hipercze"/>
              </w:rPr>
              <w:t>2.</w:t>
            </w:r>
            <w:r w:rsidR="00EB2C27">
              <w:rPr>
                <w:rFonts w:asciiTheme="minorHAnsi" w:hAnsiTheme="minorHAnsi" w:cstheme="minorBidi"/>
                <w:b w:val="0"/>
              </w:rPr>
              <w:tab/>
            </w:r>
            <w:r w:rsidR="00EB2C27" w:rsidRPr="001526F1">
              <w:rPr>
                <w:rStyle w:val="Hipercze"/>
              </w:rPr>
              <w:t xml:space="preserve">Rozdział - Cel, zakres oraz obowiązywanie </w:t>
            </w:r>
            <w:r w:rsidR="00EB2C27" w:rsidRPr="001526F1">
              <w:rPr>
                <w:rStyle w:val="Hipercze"/>
                <w:i/>
              </w:rPr>
              <w:t>Katalogu</w:t>
            </w:r>
            <w:r w:rsidR="00EB2C27">
              <w:rPr>
                <w:webHidden/>
              </w:rPr>
              <w:tab/>
            </w:r>
            <w:r w:rsidR="00EB2C27">
              <w:rPr>
                <w:webHidden/>
              </w:rPr>
              <w:fldChar w:fldCharType="begin"/>
            </w:r>
            <w:r w:rsidR="00EB2C27">
              <w:rPr>
                <w:webHidden/>
              </w:rPr>
              <w:instrText xml:space="preserve"> PAGEREF _Toc10542516 \h </w:instrText>
            </w:r>
            <w:r w:rsidR="00EB2C27">
              <w:rPr>
                <w:webHidden/>
              </w:rPr>
            </w:r>
            <w:r w:rsidR="00EB2C27">
              <w:rPr>
                <w:webHidden/>
              </w:rPr>
              <w:fldChar w:fldCharType="separate"/>
            </w:r>
            <w:r w:rsidR="002311CC">
              <w:rPr>
                <w:webHidden/>
              </w:rPr>
              <w:t>11</w:t>
            </w:r>
            <w:r w:rsidR="00EB2C27">
              <w:rPr>
                <w:webHidden/>
              </w:rPr>
              <w:fldChar w:fldCharType="end"/>
            </w:r>
          </w:hyperlink>
        </w:p>
        <w:p w14:paraId="50F84327" w14:textId="60091890" w:rsidR="00EB2C27" w:rsidRDefault="00B758DF">
          <w:pPr>
            <w:pStyle w:val="Spistreci1"/>
            <w:rPr>
              <w:rFonts w:asciiTheme="minorHAnsi" w:hAnsiTheme="minorHAnsi" w:cstheme="minorBidi"/>
              <w:b w:val="0"/>
            </w:rPr>
          </w:pPr>
          <w:hyperlink w:anchor="_Toc10542517" w:history="1">
            <w:r w:rsidR="00EB2C27" w:rsidRPr="001526F1">
              <w:rPr>
                <w:rStyle w:val="Hipercze"/>
              </w:rPr>
              <w:t>3.</w:t>
            </w:r>
            <w:r w:rsidR="00EB2C27">
              <w:rPr>
                <w:rFonts w:asciiTheme="minorHAnsi" w:hAnsiTheme="minorHAnsi" w:cstheme="minorBidi"/>
                <w:b w:val="0"/>
              </w:rPr>
              <w:tab/>
            </w:r>
            <w:r w:rsidR="00EB2C27" w:rsidRPr="001526F1">
              <w:rPr>
                <w:rStyle w:val="Hipercze"/>
              </w:rPr>
              <w:t>Rozdział - Wspólne warunki i procedury w zakresie kwalifikowalności wydatków</w:t>
            </w:r>
            <w:r w:rsidR="00EB2C27">
              <w:rPr>
                <w:webHidden/>
              </w:rPr>
              <w:tab/>
            </w:r>
            <w:r w:rsidR="00EB2C27">
              <w:rPr>
                <w:webHidden/>
              </w:rPr>
              <w:fldChar w:fldCharType="begin"/>
            </w:r>
            <w:r w:rsidR="00EB2C27">
              <w:rPr>
                <w:webHidden/>
              </w:rPr>
              <w:instrText xml:space="preserve"> PAGEREF _Toc10542517 \h </w:instrText>
            </w:r>
            <w:r w:rsidR="00EB2C27">
              <w:rPr>
                <w:webHidden/>
              </w:rPr>
            </w:r>
            <w:r w:rsidR="00EB2C27">
              <w:rPr>
                <w:webHidden/>
              </w:rPr>
              <w:fldChar w:fldCharType="separate"/>
            </w:r>
            <w:r w:rsidR="002311CC">
              <w:rPr>
                <w:webHidden/>
              </w:rPr>
              <w:t>12</w:t>
            </w:r>
            <w:r w:rsidR="00EB2C27">
              <w:rPr>
                <w:webHidden/>
              </w:rPr>
              <w:fldChar w:fldCharType="end"/>
            </w:r>
          </w:hyperlink>
        </w:p>
        <w:p w14:paraId="5F3508B5" w14:textId="58003CA1" w:rsidR="00EB2C27" w:rsidRDefault="00B758DF">
          <w:pPr>
            <w:pStyle w:val="Spistreci2"/>
            <w:tabs>
              <w:tab w:val="left" w:pos="880"/>
              <w:tab w:val="right" w:leader="dot" w:pos="9062"/>
            </w:tabs>
            <w:rPr>
              <w:noProof/>
            </w:rPr>
          </w:pPr>
          <w:hyperlink w:anchor="_Toc10542518" w:history="1">
            <w:r w:rsidR="00EB2C27" w:rsidRPr="001526F1">
              <w:rPr>
                <w:rStyle w:val="Hipercze"/>
                <w:rFonts w:ascii="Arial" w:hAnsi="Arial" w:cs="Arial"/>
                <w:i/>
                <w:noProof/>
              </w:rPr>
              <w:t>3.1</w:t>
            </w:r>
            <w:r w:rsidR="00EB2C27">
              <w:rPr>
                <w:noProof/>
              </w:rPr>
              <w:tab/>
            </w:r>
            <w:r w:rsidR="00EB2C27" w:rsidRPr="001526F1">
              <w:rPr>
                <w:rStyle w:val="Hipercze"/>
                <w:rFonts w:ascii="Arial" w:hAnsi="Arial" w:cs="Arial"/>
                <w:i/>
                <w:noProof/>
              </w:rPr>
              <w:t>Ocena kwalifikowalności wydatku.</w:t>
            </w:r>
            <w:r w:rsidR="00EB2C27">
              <w:rPr>
                <w:noProof/>
                <w:webHidden/>
              </w:rPr>
              <w:tab/>
            </w:r>
            <w:r w:rsidR="00EB2C27">
              <w:rPr>
                <w:noProof/>
                <w:webHidden/>
              </w:rPr>
              <w:fldChar w:fldCharType="begin"/>
            </w:r>
            <w:r w:rsidR="00EB2C27">
              <w:rPr>
                <w:noProof/>
                <w:webHidden/>
              </w:rPr>
              <w:instrText xml:space="preserve"> PAGEREF _Toc10542518 \h </w:instrText>
            </w:r>
            <w:r w:rsidR="00EB2C27">
              <w:rPr>
                <w:noProof/>
                <w:webHidden/>
              </w:rPr>
            </w:r>
            <w:r w:rsidR="00EB2C27">
              <w:rPr>
                <w:noProof/>
                <w:webHidden/>
              </w:rPr>
              <w:fldChar w:fldCharType="separate"/>
            </w:r>
            <w:r w:rsidR="002311CC">
              <w:rPr>
                <w:noProof/>
                <w:webHidden/>
              </w:rPr>
              <w:t>12</w:t>
            </w:r>
            <w:r w:rsidR="00EB2C27">
              <w:rPr>
                <w:noProof/>
                <w:webHidden/>
              </w:rPr>
              <w:fldChar w:fldCharType="end"/>
            </w:r>
          </w:hyperlink>
        </w:p>
        <w:p w14:paraId="109BE3EB" w14:textId="1C22D10B" w:rsidR="00EB2C27" w:rsidRDefault="00B758DF">
          <w:pPr>
            <w:pStyle w:val="Spistreci2"/>
            <w:tabs>
              <w:tab w:val="left" w:pos="880"/>
              <w:tab w:val="right" w:leader="dot" w:pos="9062"/>
            </w:tabs>
            <w:rPr>
              <w:noProof/>
            </w:rPr>
          </w:pPr>
          <w:hyperlink w:anchor="_Toc10542519" w:history="1">
            <w:r w:rsidR="00EB2C27" w:rsidRPr="001526F1">
              <w:rPr>
                <w:rStyle w:val="Hipercze"/>
                <w:rFonts w:ascii="Arial" w:hAnsi="Arial" w:cs="Arial"/>
                <w:i/>
                <w:noProof/>
              </w:rPr>
              <w:t>3.2</w:t>
            </w:r>
            <w:r w:rsidR="00EB2C27">
              <w:rPr>
                <w:noProof/>
              </w:rPr>
              <w:tab/>
            </w:r>
            <w:r w:rsidR="00EB2C27" w:rsidRPr="001526F1">
              <w:rPr>
                <w:rStyle w:val="Hipercze"/>
                <w:rFonts w:ascii="Arial" w:hAnsi="Arial" w:cs="Arial"/>
                <w:i/>
                <w:noProof/>
              </w:rPr>
              <w:t>Zasada faktycznego poniesienia wydatku</w:t>
            </w:r>
            <w:r w:rsidR="00EB2C27">
              <w:rPr>
                <w:noProof/>
                <w:webHidden/>
              </w:rPr>
              <w:tab/>
            </w:r>
            <w:r w:rsidR="00EB2C27">
              <w:rPr>
                <w:noProof/>
                <w:webHidden/>
              </w:rPr>
              <w:fldChar w:fldCharType="begin"/>
            </w:r>
            <w:r w:rsidR="00EB2C27">
              <w:rPr>
                <w:noProof/>
                <w:webHidden/>
              </w:rPr>
              <w:instrText xml:space="preserve"> PAGEREF _Toc10542519 \h </w:instrText>
            </w:r>
            <w:r w:rsidR="00EB2C27">
              <w:rPr>
                <w:noProof/>
                <w:webHidden/>
              </w:rPr>
            </w:r>
            <w:r w:rsidR="00EB2C27">
              <w:rPr>
                <w:noProof/>
                <w:webHidden/>
              </w:rPr>
              <w:fldChar w:fldCharType="separate"/>
            </w:r>
            <w:r w:rsidR="002311CC">
              <w:rPr>
                <w:noProof/>
                <w:webHidden/>
              </w:rPr>
              <w:t>12</w:t>
            </w:r>
            <w:r w:rsidR="00EB2C27">
              <w:rPr>
                <w:noProof/>
                <w:webHidden/>
              </w:rPr>
              <w:fldChar w:fldCharType="end"/>
            </w:r>
          </w:hyperlink>
        </w:p>
        <w:p w14:paraId="478371E2" w14:textId="7EBA63B1" w:rsidR="00EB2C27" w:rsidRDefault="00B758DF">
          <w:pPr>
            <w:pStyle w:val="Spistreci2"/>
            <w:tabs>
              <w:tab w:val="left" w:pos="880"/>
              <w:tab w:val="right" w:leader="dot" w:pos="9062"/>
            </w:tabs>
            <w:rPr>
              <w:noProof/>
            </w:rPr>
          </w:pPr>
          <w:hyperlink w:anchor="_Toc10542520" w:history="1">
            <w:r w:rsidR="00EB2C27" w:rsidRPr="001526F1">
              <w:rPr>
                <w:rStyle w:val="Hipercze"/>
                <w:rFonts w:ascii="Arial" w:hAnsi="Arial" w:cs="Arial"/>
                <w:i/>
                <w:noProof/>
              </w:rPr>
              <w:t>3.3</w:t>
            </w:r>
            <w:r w:rsidR="00EB2C27">
              <w:rPr>
                <w:noProof/>
              </w:rPr>
              <w:tab/>
            </w:r>
            <w:r w:rsidR="00EB2C27" w:rsidRPr="001526F1">
              <w:rPr>
                <w:rStyle w:val="Hipercze"/>
                <w:rFonts w:ascii="Arial" w:hAnsi="Arial" w:cs="Arial"/>
                <w:i/>
                <w:noProof/>
              </w:rPr>
              <w:t>Warunki oraz okres kwalifikowania wydatków w projektach podlegających zasadom pomocy publicznej</w:t>
            </w:r>
            <w:r w:rsidR="00EB2C27">
              <w:rPr>
                <w:noProof/>
                <w:webHidden/>
              </w:rPr>
              <w:tab/>
            </w:r>
            <w:r w:rsidR="00EB2C27">
              <w:rPr>
                <w:noProof/>
                <w:webHidden/>
              </w:rPr>
              <w:fldChar w:fldCharType="begin"/>
            </w:r>
            <w:r w:rsidR="00EB2C27">
              <w:rPr>
                <w:noProof/>
                <w:webHidden/>
              </w:rPr>
              <w:instrText xml:space="preserve"> PAGEREF _Toc10542520 \h </w:instrText>
            </w:r>
            <w:r w:rsidR="00EB2C27">
              <w:rPr>
                <w:noProof/>
                <w:webHidden/>
              </w:rPr>
            </w:r>
            <w:r w:rsidR="00EB2C27">
              <w:rPr>
                <w:noProof/>
                <w:webHidden/>
              </w:rPr>
              <w:fldChar w:fldCharType="separate"/>
            </w:r>
            <w:r w:rsidR="002311CC">
              <w:rPr>
                <w:noProof/>
                <w:webHidden/>
              </w:rPr>
              <w:t>19</w:t>
            </w:r>
            <w:r w:rsidR="00EB2C27">
              <w:rPr>
                <w:noProof/>
                <w:webHidden/>
              </w:rPr>
              <w:fldChar w:fldCharType="end"/>
            </w:r>
          </w:hyperlink>
        </w:p>
        <w:p w14:paraId="18B4B7D5" w14:textId="4F8F6F31" w:rsidR="00EB2C27" w:rsidRDefault="00B758DF">
          <w:pPr>
            <w:pStyle w:val="Spistreci2"/>
            <w:tabs>
              <w:tab w:val="left" w:pos="880"/>
              <w:tab w:val="right" w:leader="dot" w:pos="9062"/>
            </w:tabs>
            <w:rPr>
              <w:noProof/>
            </w:rPr>
          </w:pPr>
          <w:hyperlink w:anchor="_Toc10542521" w:history="1">
            <w:r w:rsidR="00EB2C27" w:rsidRPr="001526F1">
              <w:rPr>
                <w:rStyle w:val="Hipercze"/>
                <w:rFonts w:ascii="Arial" w:hAnsi="Arial" w:cs="Arial"/>
                <w:i/>
                <w:noProof/>
              </w:rPr>
              <w:t>3.4</w:t>
            </w:r>
            <w:r w:rsidR="00EB2C27">
              <w:rPr>
                <w:noProof/>
              </w:rPr>
              <w:tab/>
            </w:r>
            <w:r w:rsidR="00EB2C27" w:rsidRPr="001526F1">
              <w:rPr>
                <w:rStyle w:val="Hipercze"/>
                <w:rFonts w:ascii="Arial" w:hAnsi="Arial" w:cs="Arial"/>
                <w:i/>
                <w:noProof/>
              </w:rPr>
              <w:t>Zamówienia udzielane w projektach</w:t>
            </w:r>
            <w:r w:rsidR="00EB2C27">
              <w:rPr>
                <w:noProof/>
                <w:webHidden/>
              </w:rPr>
              <w:tab/>
            </w:r>
            <w:r w:rsidR="00EB2C27">
              <w:rPr>
                <w:noProof/>
                <w:webHidden/>
              </w:rPr>
              <w:fldChar w:fldCharType="begin"/>
            </w:r>
            <w:r w:rsidR="00EB2C27">
              <w:rPr>
                <w:noProof/>
                <w:webHidden/>
              </w:rPr>
              <w:instrText xml:space="preserve"> PAGEREF _Toc10542521 \h </w:instrText>
            </w:r>
            <w:r w:rsidR="00EB2C27">
              <w:rPr>
                <w:noProof/>
                <w:webHidden/>
              </w:rPr>
            </w:r>
            <w:r w:rsidR="00EB2C27">
              <w:rPr>
                <w:noProof/>
                <w:webHidden/>
              </w:rPr>
              <w:fldChar w:fldCharType="separate"/>
            </w:r>
            <w:r w:rsidR="002311CC">
              <w:rPr>
                <w:noProof/>
                <w:webHidden/>
              </w:rPr>
              <w:t>23</w:t>
            </w:r>
            <w:r w:rsidR="00EB2C27">
              <w:rPr>
                <w:noProof/>
                <w:webHidden/>
              </w:rPr>
              <w:fldChar w:fldCharType="end"/>
            </w:r>
          </w:hyperlink>
        </w:p>
        <w:p w14:paraId="67FD19DA" w14:textId="4CA9883C" w:rsidR="00EB2C27" w:rsidRDefault="00B758DF">
          <w:pPr>
            <w:pStyle w:val="Spistreci2"/>
            <w:tabs>
              <w:tab w:val="left" w:pos="880"/>
              <w:tab w:val="right" w:leader="dot" w:pos="9062"/>
            </w:tabs>
            <w:rPr>
              <w:noProof/>
            </w:rPr>
          </w:pPr>
          <w:hyperlink w:anchor="_Toc10542522" w:history="1">
            <w:r w:rsidR="00EB2C27" w:rsidRPr="001526F1">
              <w:rPr>
                <w:rStyle w:val="Hipercze"/>
                <w:rFonts w:ascii="Arial" w:hAnsi="Arial" w:cs="Arial"/>
                <w:i/>
                <w:noProof/>
              </w:rPr>
              <w:t>3.5</w:t>
            </w:r>
            <w:r w:rsidR="00EB2C27">
              <w:rPr>
                <w:noProof/>
              </w:rPr>
              <w:tab/>
            </w:r>
            <w:r w:rsidR="00EB2C27" w:rsidRPr="001526F1">
              <w:rPr>
                <w:rStyle w:val="Hipercze"/>
                <w:rFonts w:ascii="Arial" w:hAnsi="Arial" w:cs="Arial"/>
                <w:i/>
                <w:noProof/>
              </w:rPr>
              <w:t>Leasing</w:t>
            </w:r>
            <w:r w:rsidR="00EB2C27">
              <w:rPr>
                <w:noProof/>
                <w:webHidden/>
              </w:rPr>
              <w:tab/>
            </w:r>
            <w:r w:rsidR="00EB2C27">
              <w:rPr>
                <w:noProof/>
                <w:webHidden/>
              </w:rPr>
              <w:fldChar w:fldCharType="begin"/>
            </w:r>
            <w:r w:rsidR="00EB2C27">
              <w:rPr>
                <w:noProof/>
                <w:webHidden/>
              </w:rPr>
              <w:instrText xml:space="preserve"> PAGEREF _Toc10542522 \h </w:instrText>
            </w:r>
            <w:r w:rsidR="00EB2C27">
              <w:rPr>
                <w:noProof/>
                <w:webHidden/>
              </w:rPr>
            </w:r>
            <w:r w:rsidR="00EB2C27">
              <w:rPr>
                <w:noProof/>
                <w:webHidden/>
              </w:rPr>
              <w:fldChar w:fldCharType="separate"/>
            </w:r>
            <w:r w:rsidR="002311CC">
              <w:rPr>
                <w:noProof/>
                <w:webHidden/>
              </w:rPr>
              <w:t>23</w:t>
            </w:r>
            <w:r w:rsidR="00EB2C27">
              <w:rPr>
                <w:noProof/>
                <w:webHidden/>
              </w:rPr>
              <w:fldChar w:fldCharType="end"/>
            </w:r>
          </w:hyperlink>
        </w:p>
        <w:p w14:paraId="73D5B83A" w14:textId="1EDC530B" w:rsidR="00EB2C27" w:rsidRDefault="00B758DF">
          <w:pPr>
            <w:pStyle w:val="Spistreci2"/>
            <w:tabs>
              <w:tab w:val="left" w:pos="880"/>
              <w:tab w:val="right" w:leader="dot" w:pos="9062"/>
            </w:tabs>
            <w:rPr>
              <w:noProof/>
            </w:rPr>
          </w:pPr>
          <w:hyperlink w:anchor="_Toc10542523" w:history="1">
            <w:r w:rsidR="00EB2C27" w:rsidRPr="001526F1">
              <w:rPr>
                <w:rStyle w:val="Hipercze"/>
                <w:rFonts w:ascii="Arial" w:hAnsi="Arial" w:cs="Arial"/>
                <w:i/>
                <w:noProof/>
              </w:rPr>
              <w:t>3.6</w:t>
            </w:r>
            <w:r w:rsidR="00EB2C27">
              <w:rPr>
                <w:noProof/>
              </w:rPr>
              <w:tab/>
            </w:r>
            <w:r w:rsidR="00EB2C27" w:rsidRPr="001526F1">
              <w:rPr>
                <w:rStyle w:val="Hipercze"/>
                <w:rFonts w:ascii="Arial" w:hAnsi="Arial" w:cs="Arial"/>
                <w:i/>
                <w:noProof/>
              </w:rPr>
              <w:t>Projekty generujące dochód po zakończeniu realizacji projektów</w:t>
            </w:r>
            <w:r w:rsidR="00EB2C27">
              <w:rPr>
                <w:noProof/>
                <w:webHidden/>
              </w:rPr>
              <w:tab/>
            </w:r>
            <w:r w:rsidR="00EB2C27">
              <w:rPr>
                <w:noProof/>
                <w:webHidden/>
              </w:rPr>
              <w:fldChar w:fldCharType="begin"/>
            </w:r>
            <w:r w:rsidR="00EB2C27">
              <w:rPr>
                <w:noProof/>
                <w:webHidden/>
              </w:rPr>
              <w:instrText xml:space="preserve"> PAGEREF _Toc10542523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690988D2" w14:textId="056AA065" w:rsidR="00EB2C27" w:rsidRDefault="00B758DF">
          <w:pPr>
            <w:pStyle w:val="Spistreci2"/>
            <w:tabs>
              <w:tab w:val="left" w:pos="880"/>
              <w:tab w:val="right" w:leader="dot" w:pos="9062"/>
            </w:tabs>
            <w:rPr>
              <w:noProof/>
            </w:rPr>
          </w:pPr>
          <w:hyperlink w:anchor="_Toc10542524" w:history="1">
            <w:r w:rsidR="00EB2C27" w:rsidRPr="001526F1">
              <w:rPr>
                <w:rStyle w:val="Hipercze"/>
                <w:rFonts w:ascii="Arial" w:hAnsi="Arial" w:cs="Arial"/>
                <w:i/>
                <w:noProof/>
              </w:rPr>
              <w:t>3.7</w:t>
            </w:r>
            <w:r w:rsidR="00EB2C27">
              <w:rPr>
                <w:noProof/>
              </w:rPr>
              <w:tab/>
            </w:r>
            <w:r w:rsidR="00EB2C27" w:rsidRPr="001526F1">
              <w:rPr>
                <w:rStyle w:val="Hipercze"/>
                <w:rFonts w:ascii="Arial" w:hAnsi="Arial" w:cs="Arial"/>
                <w:i/>
                <w:noProof/>
              </w:rPr>
              <w:t>Kwalifikowalność podatku VAT i innych podatków, opłat i obciążeń</w:t>
            </w:r>
            <w:r w:rsidR="00EB2C27">
              <w:rPr>
                <w:noProof/>
                <w:webHidden/>
              </w:rPr>
              <w:tab/>
            </w:r>
            <w:r w:rsidR="00EB2C27">
              <w:rPr>
                <w:noProof/>
                <w:webHidden/>
              </w:rPr>
              <w:fldChar w:fldCharType="begin"/>
            </w:r>
            <w:r w:rsidR="00EB2C27">
              <w:rPr>
                <w:noProof/>
                <w:webHidden/>
              </w:rPr>
              <w:instrText xml:space="preserve"> PAGEREF _Toc10542524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2DD2D4F4" w14:textId="6697FC89" w:rsidR="00EB2C27" w:rsidRDefault="00B758DF">
          <w:pPr>
            <w:pStyle w:val="Spistreci2"/>
            <w:tabs>
              <w:tab w:val="left" w:pos="880"/>
              <w:tab w:val="right" w:leader="dot" w:pos="9062"/>
            </w:tabs>
            <w:rPr>
              <w:noProof/>
            </w:rPr>
          </w:pPr>
          <w:hyperlink w:anchor="_Toc10542525" w:history="1">
            <w:r w:rsidR="00EB2C27" w:rsidRPr="001526F1">
              <w:rPr>
                <w:rStyle w:val="Hipercze"/>
                <w:rFonts w:ascii="Arial" w:hAnsi="Arial" w:cs="Arial"/>
                <w:i/>
                <w:noProof/>
              </w:rPr>
              <w:t>3.8</w:t>
            </w:r>
            <w:r w:rsidR="00EB2C27">
              <w:rPr>
                <w:noProof/>
              </w:rPr>
              <w:tab/>
            </w:r>
            <w:r w:rsidR="00EB2C27" w:rsidRPr="001526F1">
              <w:rPr>
                <w:rStyle w:val="Hipercze"/>
                <w:rFonts w:ascii="Arial" w:hAnsi="Arial" w:cs="Arial"/>
                <w:i/>
                <w:noProof/>
              </w:rPr>
              <w:t>Duży projekt – zasady identyfikacji</w:t>
            </w:r>
            <w:r w:rsidR="00EB2C27">
              <w:rPr>
                <w:noProof/>
                <w:webHidden/>
              </w:rPr>
              <w:tab/>
            </w:r>
            <w:r w:rsidR="00EB2C27">
              <w:rPr>
                <w:noProof/>
                <w:webHidden/>
              </w:rPr>
              <w:fldChar w:fldCharType="begin"/>
            </w:r>
            <w:r w:rsidR="00EB2C27">
              <w:rPr>
                <w:noProof/>
                <w:webHidden/>
              </w:rPr>
              <w:instrText xml:space="preserve"> PAGEREF _Toc10542525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0C40675D" w14:textId="6FBFF64C" w:rsidR="00EB2C27" w:rsidRDefault="00B758DF">
          <w:pPr>
            <w:pStyle w:val="Spistreci2"/>
            <w:tabs>
              <w:tab w:val="left" w:pos="880"/>
              <w:tab w:val="right" w:leader="dot" w:pos="9062"/>
            </w:tabs>
            <w:rPr>
              <w:noProof/>
            </w:rPr>
          </w:pPr>
          <w:hyperlink w:anchor="_Toc10542526" w:history="1">
            <w:r w:rsidR="00EB2C27" w:rsidRPr="001526F1">
              <w:rPr>
                <w:rStyle w:val="Hipercze"/>
                <w:rFonts w:ascii="Arial" w:hAnsi="Arial" w:cs="Arial"/>
                <w:i/>
                <w:noProof/>
              </w:rPr>
              <w:t>3.9</w:t>
            </w:r>
            <w:r w:rsidR="00EB2C27">
              <w:rPr>
                <w:noProof/>
              </w:rPr>
              <w:tab/>
            </w:r>
            <w:r w:rsidR="00EB2C27" w:rsidRPr="001526F1">
              <w:rPr>
                <w:rStyle w:val="Hipercze"/>
                <w:rFonts w:ascii="Arial" w:hAnsi="Arial" w:cs="Arial"/>
                <w:i/>
                <w:noProof/>
              </w:rPr>
              <w:t>Podmiot dokonujący wydatków kwalifikowalnych</w:t>
            </w:r>
            <w:r w:rsidR="00EB2C27">
              <w:rPr>
                <w:noProof/>
                <w:webHidden/>
              </w:rPr>
              <w:tab/>
            </w:r>
            <w:r w:rsidR="00EB2C27">
              <w:rPr>
                <w:noProof/>
                <w:webHidden/>
              </w:rPr>
              <w:fldChar w:fldCharType="begin"/>
            </w:r>
            <w:r w:rsidR="00EB2C27">
              <w:rPr>
                <w:noProof/>
                <w:webHidden/>
              </w:rPr>
              <w:instrText xml:space="preserve"> PAGEREF _Toc10542526 \h </w:instrText>
            </w:r>
            <w:r w:rsidR="00EB2C27">
              <w:rPr>
                <w:noProof/>
                <w:webHidden/>
              </w:rPr>
            </w:r>
            <w:r w:rsidR="00EB2C27">
              <w:rPr>
                <w:noProof/>
                <w:webHidden/>
              </w:rPr>
              <w:fldChar w:fldCharType="separate"/>
            </w:r>
            <w:r w:rsidR="002311CC">
              <w:rPr>
                <w:noProof/>
                <w:webHidden/>
              </w:rPr>
              <w:t>25</w:t>
            </w:r>
            <w:r w:rsidR="00EB2C27">
              <w:rPr>
                <w:noProof/>
                <w:webHidden/>
              </w:rPr>
              <w:fldChar w:fldCharType="end"/>
            </w:r>
          </w:hyperlink>
        </w:p>
        <w:p w14:paraId="1DCA22A5" w14:textId="3258BC58" w:rsidR="00EB2C27" w:rsidRDefault="00B758DF">
          <w:pPr>
            <w:pStyle w:val="Spistreci2"/>
            <w:tabs>
              <w:tab w:val="left" w:pos="880"/>
              <w:tab w:val="right" w:leader="dot" w:pos="9062"/>
            </w:tabs>
            <w:rPr>
              <w:noProof/>
            </w:rPr>
          </w:pPr>
          <w:hyperlink w:anchor="_Toc10542527" w:history="1">
            <w:r w:rsidR="00EB2C27" w:rsidRPr="001526F1">
              <w:rPr>
                <w:rStyle w:val="Hipercze"/>
                <w:rFonts w:ascii="Arial" w:hAnsi="Arial" w:cs="Arial"/>
                <w:i/>
                <w:noProof/>
              </w:rPr>
              <w:t>3.10</w:t>
            </w:r>
            <w:r w:rsidR="00EB2C27">
              <w:rPr>
                <w:noProof/>
              </w:rPr>
              <w:tab/>
            </w:r>
            <w:r w:rsidR="00EB2C27" w:rsidRPr="001526F1">
              <w:rPr>
                <w:rStyle w:val="Hipercze"/>
                <w:rFonts w:ascii="Arial" w:hAnsi="Arial" w:cs="Arial"/>
                <w:i/>
                <w:noProof/>
              </w:rPr>
              <w:t>Podmiot na rzecz którego ponoszone są wydatki kwalifikowalne</w:t>
            </w:r>
            <w:r w:rsidR="00EB2C27">
              <w:rPr>
                <w:noProof/>
                <w:webHidden/>
              </w:rPr>
              <w:tab/>
            </w:r>
            <w:r w:rsidR="00EB2C27">
              <w:rPr>
                <w:noProof/>
                <w:webHidden/>
              </w:rPr>
              <w:fldChar w:fldCharType="begin"/>
            </w:r>
            <w:r w:rsidR="00EB2C27">
              <w:rPr>
                <w:noProof/>
                <w:webHidden/>
              </w:rPr>
              <w:instrText xml:space="preserve"> PAGEREF _Toc10542527 \h </w:instrText>
            </w:r>
            <w:r w:rsidR="00EB2C27">
              <w:rPr>
                <w:noProof/>
                <w:webHidden/>
              </w:rPr>
            </w:r>
            <w:r w:rsidR="00EB2C27">
              <w:rPr>
                <w:noProof/>
                <w:webHidden/>
              </w:rPr>
              <w:fldChar w:fldCharType="separate"/>
            </w:r>
            <w:r w:rsidR="002311CC">
              <w:rPr>
                <w:noProof/>
                <w:webHidden/>
              </w:rPr>
              <w:t>27</w:t>
            </w:r>
            <w:r w:rsidR="00EB2C27">
              <w:rPr>
                <w:noProof/>
                <w:webHidden/>
              </w:rPr>
              <w:fldChar w:fldCharType="end"/>
            </w:r>
          </w:hyperlink>
        </w:p>
        <w:p w14:paraId="6E9FCED5" w14:textId="113E43D4" w:rsidR="00EB2C27" w:rsidRDefault="00B758DF">
          <w:pPr>
            <w:pStyle w:val="Spistreci1"/>
            <w:rPr>
              <w:rFonts w:asciiTheme="minorHAnsi" w:hAnsiTheme="minorHAnsi" w:cstheme="minorBidi"/>
              <w:b w:val="0"/>
            </w:rPr>
          </w:pPr>
          <w:hyperlink w:anchor="_Toc10542528" w:history="1">
            <w:r w:rsidR="00EB2C27" w:rsidRPr="001526F1">
              <w:rPr>
                <w:rStyle w:val="Hipercze"/>
              </w:rPr>
              <w:t>4.</w:t>
            </w:r>
            <w:r w:rsidR="00EB2C27">
              <w:rPr>
                <w:rFonts w:asciiTheme="minorHAnsi" w:hAnsiTheme="minorHAnsi" w:cstheme="minorBidi"/>
                <w:b w:val="0"/>
              </w:rPr>
              <w:tab/>
            </w:r>
            <w:r w:rsidR="00EB2C27" w:rsidRPr="001526F1">
              <w:rPr>
                <w:rStyle w:val="Hipercze"/>
              </w:rPr>
              <w:t xml:space="preserve">Rozdział - Oś priorytetowa II </w:t>
            </w:r>
            <w:r w:rsidR="00EB2C27" w:rsidRPr="001526F1">
              <w:rPr>
                <w:rStyle w:val="Hipercze"/>
                <w:i/>
              </w:rPr>
              <w:t>E-administracja i otwarty rząd</w:t>
            </w:r>
            <w:r w:rsidR="00EB2C27" w:rsidRPr="001526F1">
              <w:rPr>
                <w:rStyle w:val="Hipercze"/>
              </w:rPr>
              <w:t xml:space="preserve"> - szczegółowe zasady kwalifikowalności wydatków w ramach EFRR</w:t>
            </w:r>
            <w:r w:rsidR="00EB2C27">
              <w:rPr>
                <w:webHidden/>
              </w:rPr>
              <w:tab/>
            </w:r>
            <w:r w:rsidR="00EB2C27">
              <w:rPr>
                <w:webHidden/>
              </w:rPr>
              <w:fldChar w:fldCharType="begin"/>
            </w:r>
            <w:r w:rsidR="00EB2C27">
              <w:rPr>
                <w:webHidden/>
              </w:rPr>
              <w:instrText xml:space="preserve"> PAGEREF _Toc10542528 \h </w:instrText>
            </w:r>
            <w:r w:rsidR="00EB2C27">
              <w:rPr>
                <w:webHidden/>
              </w:rPr>
            </w:r>
            <w:r w:rsidR="00EB2C27">
              <w:rPr>
                <w:webHidden/>
              </w:rPr>
              <w:fldChar w:fldCharType="separate"/>
            </w:r>
            <w:r w:rsidR="002311CC">
              <w:rPr>
                <w:webHidden/>
              </w:rPr>
              <w:t>29</w:t>
            </w:r>
            <w:r w:rsidR="00EB2C27">
              <w:rPr>
                <w:webHidden/>
              </w:rPr>
              <w:fldChar w:fldCharType="end"/>
            </w:r>
          </w:hyperlink>
        </w:p>
        <w:p w14:paraId="03CEB8BE" w14:textId="1CBCD6E9" w:rsidR="00EB2C27" w:rsidRDefault="00B758DF">
          <w:pPr>
            <w:pStyle w:val="Spistreci2"/>
            <w:tabs>
              <w:tab w:val="left" w:pos="880"/>
              <w:tab w:val="right" w:leader="dot" w:pos="9062"/>
            </w:tabs>
            <w:rPr>
              <w:noProof/>
            </w:rPr>
          </w:pPr>
          <w:hyperlink w:anchor="_Toc10542529" w:history="1">
            <w:r w:rsidR="00EB2C27" w:rsidRPr="001526F1">
              <w:rPr>
                <w:rStyle w:val="Hipercze"/>
                <w:rFonts w:ascii="Arial" w:hAnsi="Arial" w:cs="Arial"/>
                <w:i/>
                <w:noProof/>
              </w:rPr>
              <w:t>4.1</w:t>
            </w:r>
            <w:r w:rsidR="00EB2C27">
              <w:rPr>
                <w:noProof/>
              </w:rPr>
              <w:tab/>
            </w:r>
            <w:r w:rsidR="00EB2C27" w:rsidRPr="001526F1">
              <w:rPr>
                <w:rStyle w:val="Hipercze"/>
                <w:rFonts w:ascii="Arial" w:hAnsi="Arial" w:cs="Arial"/>
                <w:i/>
                <w:noProof/>
              </w:rPr>
              <w:t>Wydatki kwalifikowalne</w:t>
            </w:r>
            <w:r w:rsidR="00EB2C27">
              <w:rPr>
                <w:noProof/>
                <w:webHidden/>
              </w:rPr>
              <w:tab/>
            </w:r>
            <w:r w:rsidR="00EB2C27">
              <w:rPr>
                <w:noProof/>
                <w:webHidden/>
              </w:rPr>
              <w:fldChar w:fldCharType="begin"/>
            </w:r>
            <w:r w:rsidR="00EB2C27">
              <w:rPr>
                <w:noProof/>
                <w:webHidden/>
              </w:rPr>
              <w:instrText xml:space="preserve"> PAGEREF _Toc10542529 \h </w:instrText>
            </w:r>
            <w:r w:rsidR="00EB2C27">
              <w:rPr>
                <w:noProof/>
                <w:webHidden/>
              </w:rPr>
            </w:r>
            <w:r w:rsidR="00EB2C27">
              <w:rPr>
                <w:noProof/>
                <w:webHidden/>
              </w:rPr>
              <w:fldChar w:fldCharType="separate"/>
            </w:r>
            <w:r w:rsidR="002311CC">
              <w:rPr>
                <w:noProof/>
                <w:webHidden/>
              </w:rPr>
              <w:t>31</w:t>
            </w:r>
            <w:r w:rsidR="00EB2C27">
              <w:rPr>
                <w:noProof/>
                <w:webHidden/>
              </w:rPr>
              <w:fldChar w:fldCharType="end"/>
            </w:r>
          </w:hyperlink>
        </w:p>
        <w:p w14:paraId="2C921223" w14:textId="138D79A5" w:rsidR="00EB2C27" w:rsidRDefault="00B758DF">
          <w:pPr>
            <w:pStyle w:val="Spistreci3"/>
            <w:tabs>
              <w:tab w:val="left" w:pos="1320"/>
              <w:tab w:val="right" w:leader="dot" w:pos="9062"/>
            </w:tabs>
            <w:rPr>
              <w:noProof/>
            </w:rPr>
          </w:pPr>
          <w:hyperlink w:anchor="_Toc10542530" w:history="1">
            <w:r w:rsidR="00EB2C27" w:rsidRPr="001526F1">
              <w:rPr>
                <w:rStyle w:val="Hipercze"/>
                <w:rFonts w:ascii="Arial" w:hAnsi="Arial" w:cs="Arial"/>
                <w:i/>
                <w:noProof/>
              </w:rPr>
              <w:t>4.1.1</w:t>
            </w:r>
            <w:r w:rsidR="00EB2C27">
              <w:rPr>
                <w:noProof/>
              </w:rPr>
              <w:tab/>
            </w:r>
            <w:r w:rsidR="00EB2C27" w:rsidRPr="001526F1">
              <w:rPr>
                <w:rStyle w:val="Hipercze"/>
                <w:rFonts w:ascii="Arial" w:hAnsi="Arial" w:cs="Arial"/>
                <w:i/>
                <w:noProof/>
              </w:rPr>
              <w:t>Wykaz wydatków kwalifikowalnych ponoszonych na rzecz projektów realizowanych w ramach II osi priorytetowej</w:t>
            </w:r>
            <w:r w:rsidR="00EB2C27">
              <w:rPr>
                <w:noProof/>
                <w:webHidden/>
              </w:rPr>
              <w:tab/>
            </w:r>
            <w:r w:rsidR="00EB2C27">
              <w:rPr>
                <w:noProof/>
                <w:webHidden/>
              </w:rPr>
              <w:fldChar w:fldCharType="begin"/>
            </w:r>
            <w:r w:rsidR="00EB2C27">
              <w:rPr>
                <w:noProof/>
                <w:webHidden/>
              </w:rPr>
              <w:instrText xml:space="preserve"> PAGEREF _Toc10542530 \h </w:instrText>
            </w:r>
            <w:r w:rsidR="00EB2C27">
              <w:rPr>
                <w:noProof/>
                <w:webHidden/>
              </w:rPr>
            </w:r>
            <w:r w:rsidR="00EB2C27">
              <w:rPr>
                <w:noProof/>
                <w:webHidden/>
              </w:rPr>
              <w:fldChar w:fldCharType="separate"/>
            </w:r>
            <w:r w:rsidR="002311CC">
              <w:rPr>
                <w:noProof/>
                <w:webHidden/>
              </w:rPr>
              <w:t>31</w:t>
            </w:r>
            <w:r w:rsidR="00EB2C27">
              <w:rPr>
                <w:noProof/>
                <w:webHidden/>
              </w:rPr>
              <w:fldChar w:fldCharType="end"/>
            </w:r>
          </w:hyperlink>
        </w:p>
        <w:p w14:paraId="7ACE9CA2" w14:textId="35806FFB" w:rsidR="00EB2C27" w:rsidRDefault="00B758DF">
          <w:pPr>
            <w:pStyle w:val="Spistreci3"/>
            <w:tabs>
              <w:tab w:val="left" w:pos="1320"/>
              <w:tab w:val="right" w:leader="dot" w:pos="9062"/>
            </w:tabs>
            <w:rPr>
              <w:noProof/>
            </w:rPr>
          </w:pPr>
          <w:hyperlink w:anchor="_Toc10542531" w:history="1">
            <w:r w:rsidR="00EB2C27" w:rsidRPr="001526F1">
              <w:rPr>
                <w:rStyle w:val="Hipercze"/>
                <w:rFonts w:ascii="Arial" w:hAnsi="Arial" w:cs="Arial"/>
                <w:i/>
                <w:noProof/>
              </w:rPr>
              <w:t>4.1.2</w:t>
            </w:r>
            <w:r w:rsidR="00EB2C27">
              <w:rPr>
                <w:noProof/>
              </w:rPr>
              <w:tab/>
            </w:r>
            <w:r w:rsidR="00EB2C27" w:rsidRPr="001526F1">
              <w:rPr>
                <w:rStyle w:val="Hipercze"/>
                <w:rFonts w:ascii="Arial" w:hAnsi="Arial" w:cs="Arial"/>
                <w:i/>
                <w:noProof/>
              </w:rPr>
              <w:t>Dodatkowe wydatki kwalifikowalne w ramach działania 2.2</w:t>
            </w:r>
            <w:r w:rsidR="00EB2C27">
              <w:rPr>
                <w:noProof/>
                <w:webHidden/>
              </w:rPr>
              <w:tab/>
            </w:r>
            <w:r w:rsidR="00EB2C27">
              <w:rPr>
                <w:noProof/>
                <w:webHidden/>
              </w:rPr>
              <w:fldChar w:fldCharType="begin"/>
            </w:r>
            <w:r w:rsidR="00EB2C27">
              <w:rPr>
                <w:noProof/>
                <w:webHidden/>
              </w:rPr>
              <w:instrText xml:space="preserve"> PAGEREF _Toc10542531 \h </w:instrText>
            </w:r>
            <w:r w:rsidR="00EB2C27">
              <w:rPr>
                <w:noProof/>
                <w:webHidden/>
              </w:rPr>
            </w:r>
            <w:r w:rsidR="00EB2C27">
              <w:rPr>
                <w:noProof/>
                <w:webHidden/>
              </w:rPr>
              <w:fldChar w:fldCharType="separate"/>
            </w:r>
            <w:r w:rsidR="002311CC">
              <w:rPr>
                <w:noProof/>
                <w:webHidden/>
              </w:rPr>
              <w:t>38</w:t>
            </w:r>
            <w:r w:rsidR="00EB2C27">
              <w:rPr>
                <w:noProof/>
                <w:webHidden/>
              </w:rPr>
              <w:fldChar w:fldCharType="end"/>
            </w:r>
          </w:hyperlink>
        </w:p>
        <w:p w14:paraId="635BDD79" w14:textId="1B54BD23" w:rsidR="00EB2C27" w:rsidRDefault="00B758DF">
          <w:pPr>
            <w:pStyle w:val="Spistreci3"/>
            <w:tabs>
              <w:tab w:val="left" w:pos="1320"/>
              <w:tab w:val="right" w:leader="dot" w:pos="9062"/>
            </w:tabs>
            <w:rPr>
              <w:noProof/>
            </w:rPr>
          </w:pPr>
          <w:hyperlink w:anchor="_Toc10542532" w:history="1">
            <w:r w:rsidR="00EB2C27" w:rsidRPr="001526F1">
              <w:rPr>
                <w:rStyle w:val="Hipercze"/>
                <w:rFonts w:ascii="Arial" w:hAnsi="Arial" w:cs="Arial"/>
                <w:i/>
                <w:noProof/>
              </w:rPr>
              <w:t>4.1.3</w:t>
            </w:r>
            <w:r w:rsidR="00EB2C27">
              <w:rPr>
                <w:noProof/>
              </w:rPr>
              <w:tab/>
            </w:r>
            <w:r w:rsidR="00EB2C27" w:rsidRPr="001526F1">
              <w:rPr>
                <w:rStyle w:val="Hipercze"/>
                <w:rFonts w:ascii="Arial" w:hAnsi="Arial" w:cs="Arial"/>
                <w:i/>
                <w:noProof/>
              </w:rPr>
              <w:t>Dodatkowe wydatki kwalifikowalne w ramach działania 2.3</w:t>
            </w:r>
            <w:r w:rsidR="00EB2C27">
              <w:rPr>
                <w:noProof/>
                <w:webHidden/>
              </w:rPr>
              <w:tab/>
            </w:r>
            <w:r w:rsidR="00EB2C27">
              <w:rPr>
                <w:noProof/>
                <w:webHidden/>
              </w:rPr>
              <w:fldChar w:fldCharType="begin"/>
            </w:r>
            <w:r w:rsidR="00EB2C27">
              <w:rPr>
                <w:noProof/>
                <w:webHidden/>
              </w:rPr>
              <w:instrText xml:space="preserve"> PAGEREF _Toc10542532 \h </w:instrText>
            </w:r>
            <w:r w:rsidR="00EB2C27">
              <w:rPr>
                <w:noProof/>
                <w:webHidden/>
              </w:rPr>
            </w:r>
            <w:r w:rsidR="00EB2C27">
              <w:rPr>
                <w:noProof/>
                <w:webHidden/>
              </w:rPr>
              <w:fldChar w:fldCharType="separate"/>
            </w:r>
            <w:r w:rsidR="002311CC">
              <w:rPr>
                <w:noProof/>
                <w:webHidden/>
              </w:rPr>
              <w:t>39</w:t>
            </w:r>
            <w:r w:rsidR="00EB2C27">
              <w:rPr>
                <w:noProof/>
                <w:webHidden/>
              </w:rPr>
              <w:fldChar w:fldCharType="end"/>
            </w:r>
          </w:hyperlink>
        </w:p>
        <w:p w14:paraId="564C5714" w14:textId="1CE8B019" w:rsidR="00EB2C27" w:rsidRDefault="00B758DF">
          <w:pPr>
            <w:pStyle w:val="Spistreci3"/>
            <w:tabs>
              <w:tab w:val="left" w:pos="1320"/>
              <w:tab w:val="right" w:leader="dot" w:pos="9062"/>
            </w:tabs>
            <w:rPr>
              <w:noProof/>
            </w:rPr>
          </w:pPr>
          <w:hyperlink w:anchor="_Toc10542533" w:history="1">
            <w:r w:rsidR="00EB2C27" w:rsidRPr="001526F1">
              <w:rPr>
                <w:rStyle w:val="Hipercze"/>
                <w:rFonts w:ascii="Arial" w:hAnsi="Arial" w:cs="Arial"/>
                <w:i/>
                <w:noProof/>
              </w:rPr>
              <w:t>4.1.4</w:t>
            </w:r>
            <w:r w:rsidR="00EB2C27">
              <w:rPr>
                <w:noProof/>
              </w:rPr>
              <w:tab/>
            </w:r>
            <w:r w:rsidR="00EB2C27" w:rsidRPr="001526F1">
              <w:rPr>
                <w:rStyle w:val="Hipercze"/>
                <w:rFonts w:ascii="Arial" w:hAnsi="Arial" w:cs="Arial"/>
                <w:i/>
                <w:noProof/>
              </w:rPr>
              <w:t>Wydatki kwalifikowalne w projektach realizowanych w działaniu 2.1 w ramach „uproszczonej procedury”</w:t>
            </w:r>
            <w:r w:rsidR="00EB2C27">
              <w:rPr>
                <w:noProof/>
                <w:webHidden/>
              </w:rPr>
              <w:tab/>
            </w:r>
            <w:r w:rsidR="00EB2C27">
              <w:rPr>
                <w:noProof/>
                <w:webHidden/>
              </w:rPr>
              <w:fldChar w:fldCharType="begin"/>
            </w:r>
            <w:r w:rsidR="00EB2C27">
              <w:rPr>
                <w:noProof/>
                <w:webHidden/>
              </w:rPr>
              <w:instrText xml:space="preserve"> PAGEREF _Toc10542533 \h </w:instrText>
            </w:r>
            <w:r w:rsidR="00EB2C27">
              <w:rPr>
                <w:noProof/>
                <w:webHidden/>
              </w:rPr>
            </w:r>
            <w:r w:rsidR="00EB2C27">
              <w:rPr>
                <w:noProof/>
                <w:webHidden/>
              </w:rPr>
              <w:fldChar w:fldCharType="separate"/>
            </w:r>
            <w:r w:rsidR="002311CC">
              <w:rPr>
                <w:noProof/>
                <w:webHidden/>
              </w:rPr>
              <w:t>40</w:t>
            </w:r>
            <w:r w:rsidR="00EB2C27">
              <w:rPr>
                <w:noProof/>
                <w:webHidden/>
              </w:rPr>
              <w:fldChar w:fldCharType="end"/>
            </w:r>
          </w:hyperlink>
        </w:p>
        <w:p w14:paraId="49B5783A" w14:textId="25B87465" w:rsidR="00EB2C27" w:rsidRDefault="00B758DF">
          <w:pPr>
            <w:pStyle w:val="Spistreci2"/>
            <w:tabs>
              <w:tab w:val="left" w:pos="880"/>
              <w:tab w:val="right" w:leader="dot" w:pos="9062"/>
            </w:tabs>
            <w:rPr>
              <w:noProof/>
            </w:rPr>
          </w:pPr>
          <w:hyperlink w:anchor="_Toc10542534" w:history="1">
            <w:r w:rsidR="00EB2C27" w:rsidRPr="001526F1">
              <w:rPr>
                <w:rStyle w:val="Hipercze"/>
                <w:rFonts w:ascii="Arial" w:hAnsi="Arial" w:cs="Arial"/>
                <w:i/>
                <w:noProof/>
              </w:rPr>
              <w:t>4.2</w:t>
            </w:r>
            <w:r w:rsidR="00EB2C27">
              <w:rPr>
                <w:noProof/>
              </w:rPr>
              <w:tab/>
            </w:r>
            <w:r w:rsidR="00EB2C27" w:rsidRPr="001526F1">
              <w:rPr>
                <w:rStyle w:val="Hipercze"/>
                <w:rFonts w:ascii="Arial" w:hAnsi="Arial" w:cs="Arial"/>
                <w:i/>
                <w:noProof/>
              </w:rPr>
              <w:t>Cross-financing</w:t>
            </w:r>
            <w:r w:rsidR="00EB2C27">
              <w:rPr>
                <w:noProof/>
                <w:webHidden/>
              </w:rPr>
              <w:tab/>
            </w:r>
            <w:r w:rsidR="00EB2C27">
              <w:rPr>
                <w:noProof/>
                <w:webHidden/>
              </w:rPr>
              <w:fldChar w:fldCharType="begin"/>
            </w:r>
            <w:r w:rsidR="00EB2C27">
              <w:rPr>
                <w:noProof/>
                <w:webHidden/>
              </w:rPr>
              <w:instrText xml:space="preserve"> PAGEREF _Toc10542534 \h </w:instrText>
            </w:r>
            <w:r w:rsidR="00EB2C27">
              <w:rPr>
                <w:noProof/>
                <w:webHidden/>
              </w:rPr>
            </w:r>
            <w:r w:rsidR="00EB2C27">
              <w:rPr>
                <w:noProof/>
                <w:webHidden/>
              </w:rPr>
              <w:fldChar w:fldCharType="separate"/>
            </w:r>
            <w:r w:rsidR="002311CC">
              <w:rPr>
                <w:noProof/>
                <w:webHidden/>
              </w:rPr>
              <w:t>43</w:t>
            </w:r>
            <w:r w:rsidR="00EB2C27">
              <w:rPr>
                <w:noProof/>
                <w:webHidden/>
              </w:rPr>
              <w:fldChar w:fldCharType="end"/>
            </w:r>
          </w:hyperlink>
        </w:p>
        <w:p w14:paraId="51D21A5E" w14:textId="3055FAD8" w:rsidR="00EB2C27" w:rsidRDefault="00B758DF">
          <w:pPr>
            <w:pStyle w:val="Spistreci2"/>
            <w:tabs>
              <w:tab w:val="left" w:pos="880"/>
              <w:tab w:val="right" w:leader="dot" w:pos="9062"/>
            </w:tabs>
            <w:rPr>
              <w:noProof/>
            </w:rPr>
          </w:pPr>
          <w:hyperlink w:anchor="_Toc10542535" w:history="1">
            <w:r w:rsidR="00EB2C27" w:rsidRPr="001526F1">
              <w:rPr>
                <w:rStyle w:val="Hipercze"/>
                <w:rFonts w:ascii="Arial" w:hAnsi="Arial" w:cs="Arial"/>
                <w:i/>
                <w:noProof/>
              </w:rPr>
              <w:t>4.3</w:t>
            </w:r>
            <w:r w:rsidR="00EB2C27">
              <w:rPr>
                <w:noProof/>
              </w:rPr>
              <w:tab/>
            </w:r>
            <w:r w:rsidR="00EB2C27" w:rsidRPr="001526F1">
              <w:rPr>
                <w:rStyle w:val="Hipercze"/>
                <w:rFonts w:ascii="Arial" w:hAnsi="Arial" w:cs="Arial"/>
                <w:i/>
                <w:noProof/>
              </w:rPr>
              <w:t>Wykaz wydatków niekwalifikowalnych w ramach II osi priorytetowej</w:t>
            </w:r>
            <w:r w:rsidR="00EB2C27">
              <w:rPr>
                <w:noProof/>
                <w:webHidden/>
              </w:rPr>
              <w:tab/>
            </w:r>
            <w:r w:rsidR="00EB2C27">
              <w:rPr>
                <w:noProof/>
                <w:webHidden/>
              </w:rPr>
              <w:fldChar w:fldCharType="begin"/>
            </w:r>
            <w:r w:rsidR="00EB2C27">
              <w:rPr>
                <w:noProof/>
                <w:webHidden/>
              </w:rPr>
              <w:instrText xml:space="preserve"> PAGEREF _Toc10542535 \h </w:instrText>
            </w:r>
            <w:r w:rsidR="00EB2C27">
              <w:rPr>
                <w:noProof/>
                <w:webHidden/>
              </w:rPr>
            </w:r>
            <w:r w:rsidR="00EB2C27">
              <w:rPr>
                <w:noProof/>
                <w:webHidden/>
              </w:rPr>
              <w:fldChar w:fldCharType="separate"/>
            </w:r>
            <w:r w:rsidR="002311CC">
              <w:rPr>
                <w:noProof/>
                <w:webHidden/>
              </w:rPr>
              <w:t>44</w:t>
            </w:r>
            <w:r w:rsidR="00EB2C27">
              <w:rPr>
                <w:noProof/>
                <w:webHidden/>
              </w:rPr>
              <w:fldChar w:fldCharType="end"/>
            </w:r>
          </w:hyperlink>
        </w:p>
        <w:p w14:paraId="044A6510" w14:textId="6D84F420" w:rsidR="00EB2C27" w:rsidRDefault="00B758DF">
          <w:pPr>
            <w:pStyle w:val="Spistreci2"/>
            <w:tabs>
              <w:tab w:val="left" w:pos="880"/>
              <w:tab w:val="right" w:leader="dot" w:pos="9062"/>
            </w:tabs>
            <w:rPr>
              <w:noProof/>
            </w:rPr>
          </w:pPr>
          <w:hyperlink w:anchor="_Toc10542540" w:history="1">
            <w:r w:rsidR="00EB2C27" w:rsidRPr="001526F1">
              <w:rPr>
                <w:rStyle w:val="Hipercze"/>
                <w:rFonts w:ascii="Arial" w:hAnsi="Arial" w:cs="Arial"/>
                <w:i/>
                <w:noProof/>
              </w:rPr>
              <w:t>4.4</w:t>
            </w:r>
            <w:r w:rsidR="00EB2C27">
              <w:rPr>
                <w:noProof/>
              </w:rPr>
              <w:tab/>
            </w:r>
            <w:r w:rsidR="00EB2C27" w:rsidRPr="001526F1">
              <w:rPr>
                <w:rStyle w:val="Hipercze"/>
                <w:rFonts w:ascii="Arial" w:hAnsi="Arial" w:cs="Arial"/>
                <w:i/>
                <w:noProof/>
              </w:rPr>
              <w:t>Wydatki kwalifikowalne w projektach realizowanych w działaniu 2.4 „Tworzenie usług i aplikacji wykorzystujących e-usługi publiczne i informacje sektora publicznego”</w:t>
            </w:r>
            <w:r w:rsidR="00EB2C27">
              <w:rPr>
                <w:noProof/>
                <w:webHidden/>
              </w:rPr>
              <w:tab/>
            </w:r>
            <w:r w:rsidR="00EB2C27">
              <w:rPr>
                <w:noProof/>
                <w:webHidden/>
              </w:rPr>
              <w:fldChar w:fldCharType="begin"/>
            </w:r>
            <w:r w:rsidR="00EB2C27">
              <w:rPr>
                <w:noProof/>
                <w:webHidden/>
              </w:rPr>
              <w:instrText xml:space="preserve"> PAGEREF _Toc10542540 \h </w:instrText>
            </w:r>
            <w:r w:rsidR="00EB2C27">
              <w:rPr>
                <w:noProof/>
                <w:webHidden/>
              </w:rPr>
            </w:r>
            <w:r w:rsidR="00EB2C27">
              <w:rPr>
                <w:noProof/>
                <w:webHidden/>
              </w:rPr>
              <w:fldChar w:fldCharType="separate"/>
            </w:r>
            <w:r w:rsidR="002311CC">
              <w:rPr>
                <w:noProof/>
                <w:webHidden/>
              </w:rPr>
              <w:t>46</w:t>
            </w:r>
            <w:r w:rsidR="00EB2C27">
              <w:rPr>
                <w:noProof/>
                <w:webHidden/>
              </w:rPr>
              <w:fldChar w:fldCharType="end"/>
            </w:r>
          </w:hyperlink>
        </w:p>
        <w:p w14:paraId="3513D348" w14:textId="209670A7" w:rsidR="00EB2C27" w:rsidRDefault="00B758DF">
          <w:pPr>
            <w:pStyle w:val="Spistreci1"/>
            <w:rPr>
              <w:rFonts w:asciiTheme="minorHAnsi" w:hAnsiTheme="minorHAnsi" w:cstheme="minorBidi"/>
              <w:b w:val="0"/>
            </w:rPr>
          </w:pPr>
          <w:hyperlink w:anchor="_Toc10542541" w:history="1">
            <w:r w:rsidR="00EB2C27" w:rsidRPr="001526F1">
              <w:rPr>
                <w:rStyle w:val="Hipercze"/>
                <w:rFonts w:eastAsia="Times New Roman" w:cs="Times New Roman"/>
                <w:bCs/>
              </w:rPr>
              <w:t>Załącznik nr 1 – Przykładowy wykaz nieprawidłowości w obszarze zamówień publicznych udzielanych na podstawie przepisów Pzp</w:t>
            </w:r>
            <w:r w:rsidR="00EB2C27">
              <w:rPr>
                <w:webHidden/>
              </w:rPr>
              <w:tab/>
            </w:r>
            <w:r w:rsidR="00EB2C27">
              <w:rPr>
                <w:webHidden/>
              </w:rPr>
              <w:fldChar w:fldCharType="begin"/>
            </w:r>
            <w:r w:rsidR="00EB2C27">
              <w:rPr>
                <w:webHidden/>
              </w:rPr>
              <w:instrText xml:space="preserve"> PAGEREF _Toc10542541 \h </w:instrText>
            </w:r>
            <w:r w:rsidR="00EB2C27">
              <w:rPr>
                <w:webHidden/>
              </w:rPr>
            </w:r>
            <w:r w:rsidR="00EB2C27">
              <w:rPr>
                <w:webHidden/>
              </w:rPr>
              <w:fldChar w:fldCharType="separate"/>
            </w:r>
            <w:r w:rsidR="002311CC">
              <w:rPr>
                <w:webHidden/>
              </w:rPr>
              <w:t>50</w:t>
            </w:r>
            <w:r w:rsidR="00EB2C27">
              <w:rPr>
                <w:webHidden/>
              </w:rPr>
              <w:fldChar w:fldCharType="end"/>
            </w:r>
          </w:hyperlink>
        </w:p>
        <w:p w14:paraId="549D3B09" w14:textId="466C886A" w:rsidR="00EB2C27" w:rsidRDefault="00B758DF">
          <w:pPr>
            <w:pStyle w:val="Spistreci1"/>
            <w:rPr>
              <w:rFonts w:asciiTheme="minorHAnsi" w:hAnsiTheme="minorHAnsi" w:cstheme="minorBidi"/>
              <w:b w:val="0"/>
            </w:rPr>
          </w:pPr>
          <w:hyperlink w:anchor="_Toc10542542" w:history="1">
            <w:r w:rsidR="00EB2C27" w:rsidRPr="001526F1">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EB2C27">
              <w:rPr>
                <w:webHidden/>
              </w:rPr>
              <w:tab/>
            </w:r>
            <w:r w:rsidR="00EB2C27">
              <w:rPr>
                <w:webHidden/>
              </w:rPr>
              <w:fldChar w:fldCharType="begin"/>
            </w:r>
            <w:r w:rsidR="00EB2C27">
              <w:rPr>
                <w:webHidden/>
              </w:rPr>
              <w:instrText xml:space="preserve"> PAGEREF _Toc10542542 \h </w:instrText>
            </w:r>
            <w:r w:rsidR="00EB2C27">
              <w:rPr>
                <w:webHidden/>
              </w:rPr>
            </w:r>
            <w:r w:rsidR="00EB2C27">
              <w:rPr>
                <w:webHidden/>
              </w:rPr>
              <w:fldChar w:fldCharType="separate"/>
            </w:r>
            <w:r w:rsidR="002311CC">
              <w:rPr>
                <w:webHidden/>
              </w:rPr>
              <w:t>52</w:t>
            </w:r>
            <w:r w:rsidR="00EB2C27">
              <w:rPr>
                <w:webHidden/>
              </w:rPr>
              <w:fldChar w:fldCharType="end"/>
            </w:r>
          </w:hyperlink>
        </w:p>
        <w:p w14:paraId="6E82AE0A" w14:textId="77777777"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14:paraId="265BAC65" w14:textId="77777777" w:rsidR="00003731" w:rsidRPr="007E469E" w:rsidRDefault="00003731" w:rsidP="00003731">
      <w:r w:rsidRPr="007E469E">
        <w:br w:type="page"/>
      </w:r>
    </w:p>
    <w:p w14:paraId="25F174C9" w14:textId="77777777"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0" w:name="_Toc10542514"/>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0"/>
    </w:p>
    <w:p w14:paraId="3B1A118C" w14:textId="77777777"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14:paraId="721FE91F" w14:textId="77777777"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14:paraId="4D3F2C1E"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14:paraId="0B8C5D6F" w14:textId="77777777"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14:paraId="22E91955" w14:textId="77777777"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14:paraId="637D9995" w14:textId="77777777"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85F07">
        <w:rPr>
          <w:rFonts w:ascii="Arial" w:eastAsia="Times New Roman" w:hAnsi="Arial" w:cs="Arial"/>
          <w:i/>
          <w:lang w:eastAsia="pl-PL"/>
        </w:rPr>
        <w:t>general</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block</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exemption</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14:paraId="6479E2D0" w14:textId="77777777"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32FF1ECE" w14:textId="77777777"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004D8521"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14:paraId="38F8F09F" w14:textId="77777777"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14:paraId="4133CEFE" w14:textId="77777777"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14:paraId="7B98B638" w14:textId="1F7A0B65"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Pzp – ustawę z dnia 29 stycznia 2004 r. – Prawo zamówień publicznych (</w:t>
      </w:r>
      <w:r w:rsidR="00707594">
        <w:rPr>
          <w:rFonts w:ascii="Arial" w:eastAsia="Times New Roman" w:hAnsi="Arial" w:cs="Arial"/>
          <w:lang w:eastAsia="pl-PL"/>
        </w:rPr>
        <w:t xml:space="preserve">t.j.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F60ECD">
        <w:rPr>
          <w:rFonts w:ascii="Arial" w:eastAsia="Times New Roman" w:hAnsi="Arial" w:cs="Arial"/>
          <w:lang w:eastAsia="pl-PL"/>
        </w:rPr>
        <w:t>9</w:t>
      </w:r>
      <w:r>
        <w:rPr>
          <w:rFonts w:ascii="Arial" w:eastAsia="Times New Roman" w:hAnsi="Arial" w:cs="Arial"/>
          <w:lang w:eastAsia="pl-PL"/>
        </w:rPr>
        <w:t xml:space="preserve"> r. poz. </w:t>
      </w:r>
      <w:r w:rsidR="00F60ECD">
        <w:rPr>
          <w:rFonts w:ascii="Arial" w:eastAsia="Times New Roman" w:hAnsi="Arial" w:cs="Arial"/>
          <w:lang w:eastAsia="pl-PL"/>
        </w:rPr>
        <w:t>1843</w:t>
      </w:r>
      <w:r>
        <w:rPr>
          <w:rFonts w:ascii="Arial" w:eastAsia="Times New Roman" w:hAnsi="Arial" w:cs="Arial"/>
          <w:lang w:eastAsia="pl-PL"/>
        </w:rPr>
        <w:t>),</w:t>
      </w:r>
    </w:p>
    <w:p w14:paraId="2C937B48"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14:paraId="30ED333A" w14:textId="77777777"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14:paraId="16D30925" w14:textId="77777777"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14:paraId="39129873" w14:textId="77777777"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1" w:name="_Toc468090807"/>
      <w:bookmarkStart w:id="12" w:name="_Toc468090844"/>
      <w:bookmarkStart w:id="13" w:name="_Toc468092713"/>
      <w:bookmarkStart w:id="14" w:name="_Toc468092750"/>
      <w:bookmarkStart w:id="15" w:name="_Toc468090808"/>
      <w:bookmarkStart w:id="16" w:name="_Toc468090845"/>
      <w:bookmarkStart w:id="17" w:name="_Toc468092714"/>
      <w:bookmarkStart w:id="18" w:name="_Toc468092751"/>
      <w:bookmarkStart w:id="19" w:name="_Toc468090809"/>
      <w:bookmarkStart w:id="20" w:name="_Toc468090846"/>
      <w:bookmarkStart w:id="21" w:name="_Toc468092715"/>
      <w:bookmarkStart w:id="22" w:name="_Toc468092752"/>
      <w:bookmarkStart w:id="23" w:name="_Toc10542515"/>
      <w:bookmarkEnd w:id="11"/>
      <w:bookmarkEnd w:id="12"/>
      <w:bookmarkEnd w:id="13"/>
      <w:bookmarkEnd w:id="14"/>
      <w:bookmarkEnd w:id="15"/>
      <w:bookmarkEnd w:id="16"/>
      <w:bookmarkEnd w:id="17"/>
      <w:bookmarkEnd w:id="18"/>
      <w:bookmarkEnd w:id="19"/>
      <w:bookmarkEnd w:id="20"/>
      <w:bookmarkEnd w:id="21"/>
      <w:bookmarkEnd w:id="22"/>
      <w:r w:rsidRPr="007E469E">
        <w:rPr>
          <w:rFonts w:ascii="Arial" w:hAnsi="Arial" w:cs="Arial"/>
          <w:color w:val="auto"/>
          <w:sz w:val="24"/>
          <w:szCs w:val="24"/>
        </w:rPr>
        <w:lastRenderedPageBreak/>
        <w:t>Rozdział - Słowniczek pojęć</w:t>
      </w:r>
      <w:bookmarkEnd w:id="23"/>
    </w:p>
    <w:p w14:paraId="196F3C9C" w14:textId="77777777"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14:paraId="5B74F56D" w14:textId="77777777"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14:paraId="30F83EC0" w14:textId="77777777"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proofErr w:type="spellStart"/>
      <w:r w:rsidRPr="007E469E">
        <w:rPr>
          <w:rFonts w:ascii="Arial" w:eastAsia="Times New Roman" w:hAnsi="Arial" w:cs="Arial"/>
          <w:i/>
          <w:iCs/>
          <w:lang w:eastAsia="pl-PL"/>
        </w:rPr>
        <w:t>cloud</w:t>
      </w:r>
      <w:proofErr w:type="spellEnd"/>
      <w:r w:rsidRPr="007E469E">
        <w:rPr>
          <w:rFonts w:ascii="Arial" w:eastAsia="Times New Roman" w:hAnsi="Arial" w:cs="Arial"/>
          <w:i/>
          <w:iCs/>
          <w:lang w:eastAsia="pl-PL"/>
        </w:rPr>
        <w:t xml:space="preserve"> </w:t>
      </w:r>
      <w:proofErr w:type="spellStart"/>
      <w:r w:rsidRPr="007E469E">
        <w:rPr>
          <w:rFonts w:ascii="Arial" w:eastAsia="Times New Roman" w:hAnsi="Arial" w:cs="Arial"/>
          <w:i/>
          <w:iCs/>
          <w:lang w:eastAsia="pl-PL"/>
        </w:rPr>
        <w:t>computing</w:t>
      </w:r>
      <w:proofErr w:type="spellEnd"/>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14:paraId="3E8C11A9" w14:textId="77777777"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cross-financing</w:t>
      </w:r>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14:paraId="1E8E45EE" w14:textId="77777777"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14:paraId="531D8484" w14:textId="05283391"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 xml:space="preserve">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w:t>
      </w:r>
      <w:r w:rsidR="00F60ECD">
        <w:rPr>
          <w:rFonts w:ascii="Arial" w:eastAsia="Calibri" w:hAnsi="Arial" w:cs="Arial"/>
        </w:rPr>
        <w:t xml:space="preserve">Oszczędności </w:t>
      </w:r>
      <w:r w:rsidR="004900A3">
        <w:rPr>
          <w:rFonts w:ascii="Arial" w:eastAsia="Calibri" w:hAnsi="Arial" w:cs="Arial"/>
        </w:rPr>
        <w:t>kosztów</w:t>
      </w:r>
      <w:r w:rsidR="00F60ECD">
        <w:rPr>
          <w:rFonts w:ascii="Arial" w:eastAsia="Calibri" w:hAnsi="Arial" w:cs="Arial"/>
        </w:rPr>
        <w:t xml:space="preserve"> operacyjnych wygenerowane przez daną operację, z wyjątkiem </w:t>
      </w:r>
      <w:r w:rsidRPr="00E00B2F">
        <w:rPr>
          <w:rFonts w:ascii="Arial" w:eastAsia="Calibri" w:hAnsi="Arial" w:cs="Arial"/>
        </w:rPr>
        <w:t xml:space="preserve"> oszczędności kosztów </w:t>
      </w:r>
      <w:r w:rsidR="00F60ECD">
        <w:rPr>
          <w:rFonts w:ascii="Arial" w:eastAsia="Calibri" w:hAnsi="Arial" w:cs="Arial"/>
        </w:rPr>
        <w:t>wynikających z wdrożenia środków w zakresie efektywności energetycznej, traktuje się jako dochód</w:t>
      </w:r>
      <w:r w:rsidRPr="00E00B2F">
        <w:rPr>
          <w:rFonts w:ascii="Arial" w:eastAsia="Calibri" w:hAnsi="Arial" w:cs="Arial"/>
        </w:rPr>
        <w:t>, chyba że są skompensowane równoważnym zmniejszeniem dotacji na działalność</w:t>
      </w:r>
      <w:r w:rsidR="00F60ECD">
        <w:rPr>
          <w:rFonts w:ascii="Arial" w:eastAsia="Calibri" w:hAnsi="Arial" w:cs="Arial"/>
        </w:rPr>
        <w:t xml:space="preserve">; w </w:t>
      </w:r>
      <w:r w:rsidR="00F60ECD">
        <w:rPr>
          <w:rFonts w:ascii="Arial" w:eastAsia="Calibri" w:hAnsi="Arial" w:cs="Arial"/>
        </w:rPr>
        <w:lastRenderedPageBreak/>
        <w:t>związku z tym, że art. 61 ust. 1 rozporządzenia ogólnego definiuje operacje generujące dochód po ukończ</w:t>
      </w:r>
      <w:r w:rsidR="00C37D03">
        <w:rPr>
          <w:rFonts w:ascii="Arial" w:eastAsia="Calibri" w:hAnsi="Arial" w:cs="Arial"/>
        </w:rPr>
        <w:t>e</w:t>
      </w:r>
      <w:r w:rsidR="00F60ECD">
        <w:rPr>
          <w:rFonts w:ascii="Arial" w:eastAsia="Calibri" w:hAnsi="Arial" w:cs="Arial"/>
        </w:rPr>
        <w:t>niu, dochód w tym ujęciu będzie występował jedynie w fazie operacyjnej projektu</w:t>
      </w:r>
      <w:r w:rsidRPr="00FC112E">
        <w:rPr>
          <w:rFonts w:ascii="Arial" w:eastAsia="Calibri" w:hAnsi="Arial" w:cs="Arial"/>
        </w:rPr>
        <w:t>;</w:t>
      </w:r>
    </w:p>
    <w:p w14:paraId="2E71999D" w14:textId="724EEA95" w:rsidR="00740FC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F60ECD">
        <w:rPr>
          <w:rFonts w:ascii="Arial" w:eastAsia="Calibri" w:hAnsi="Arial" w:cs="Arial"/>
        </w:rPr>
        <w:t xml:space="preserve"> w przypadku instrumentów finansowych – finansowanie w oparciu o „umowę o finansowaniu” zgodnie z załącznikiem IV rozporządzenia ogólnego;</w:t>
      </w:r>
    </w:p>
    <w:p w14:paraId="0932135D" w14:textId="04DFA22C" w:rsidR="00F60ECD" w:rsidRPr="007E469E" w:rsidRDefault="00F60ECD" w:rsidP="008A69F7">
      <w:pPr>
        <w:numPr>
          <w:ilvl w:val="0"/>
          <w:numId w:val="13"/>
        </w:numPr>
        <w:spacing w:before="240" w:after="240" w:line="360" w:lineRule="auto"/>
        <w:contextualSpacing/>
        <w:jc w:val="both"/>
        <w:rPr>
          <w:rFonts w:ascii="Arial" w:eastAsia="Calibri" w:hAnsi="Arial" w:cs="Arial"/>
        </w:rPr>
      </w:pPr>
      <w:r>
        <w:rPr>
          <w:rFonts w:ascii="Arial" w:eastAsia="Calibri" w:hAnsi="Arial" w:cs="Arial"/>
        </w:rPr>
        <w:t xml:space="preserve">dostawy – nabywanie rzeczy oraz innych dóbr, w szczególności na podstawie umowy sprzedaży, dostawy, najmu, dzierżawy oraz leasingu z opcją lub bez opcji zakupu, </w:t>
      </w:r>
      <w:r w:rsidR="004445FB">
        <w:rPr>
          <w:rFonts w:ascii="Arial" w:eastAsia="Calibri" w:hAnsi="Arial" w:cs="Arial"/>
        </w:rPr>
        <w:t>które może obejmować dodatkowo rozmieszczenie lub instalację;</w:t>
      </w:r>
      <w:r>
        <w:rPr>
          <w:rFonts w:ascii="Arial" w:eastAsia="Calibri" w:hAnsi="Arial" w:cs="Arial"/>
        </w:rPr>
        <w:t xml:space="preserve"> </w:t>
      </w:r>
    </w:p>
    <w:p w14:paraId="571EF7D2" w14:textId="77777777"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14:paraId="5A1620AF" w14:textId="77777777"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14:paraId="1DF0BAE9" w14:textId="77777777"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14:paraId="373F2E3F" w14:textId="77777777"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14:paraId="0DDE0A2C" w14:textId="77777777"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14:paraId="1A38E0F3" w14:textId="77777777"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14:paraId="131A8F24" w14:textId="77777777"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w:t>
      </w:r>
      <w:r w:rsidRPr="00B407F1">
        <w:rPr>
          <w:rFonts w:eastAsia="TTE278EC88t00" w:cs="Arial"/>
        </w:rPr>
        <w:lastRenderedPageBreak/>
        <w:t>jedynie częściowo objęte dyrektywami w sprawie zamówień publicznych (Dz. Urz. UE C 179 z 1 sierpnia 2006,str. 2)</w:t>
      </w:r>
      <w:r w:rsidR="007548E0" w:rsidRPr="00B407F1">
        <w:rPr>
          <w:rFonts w:eastAsia="TTE278EC88t00" w:cs="Arial"/>
        </w:rPr>
        <w:t>;</w:t>
      </w:r>
    </w:p>
    <w:p w14:paraId="7CF208C7" w14:textId="1FF48C18"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4445FB">
        <w:rPr>
          <w:rFonts w:ascii="Arial" w:hAnsi="Arial"/>
        </w:rPr>
        <w:t xml:space="preserve"> z dnia 17 czerwca 2014 r. uznającego niektóre rodzaje pomocy za zgodne z rynkiem wewnętrznym w zastosowaniu </w:t>
      </w:r>
      <w:proofErr w:type="spellStart"/>
      <w:r w:rsidR="004445FB">
        <w:rPr>
          <w:rFonts w:ascii="Arial" w:hAnsi="Arial"/>
        </w:rPr>
        <w:t>aer</w:t>
      </w:r>
      <w:proofErr w:type="spellEnd"/>
      <w:r w:rsidR="004445FB">
        <w:rPr>
          <w:rFonts w:ascii="Arial" w:hAnsi="Arial"/>
        </w:rPr>
        <w:t>. 107 i 108 traktatu (Dz. Urz. UE L 187 z 26.06.2014, z późn. zm., str. 1)</w:t>
      </w:r>
      <w:r w:rsidR="003D08E1" w:rsidRPr="00F86FA6">
        <w:rPr>
          <w:rFonts w:ascii="Arial" w:hAnsi="Arial"/>
        </w:rPr>
        <w:t>;</w:t>
      </w:r>
    </w:p>
    <w:p w14:paraId="6C47BD0A" w14:textId="56F90481"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xml:space="preserve">- Kodeks cywilny (Dz. U. z </w:t>
      </w:r>
      <w:r w:rsidR="004445FB" w:rsidRPr="005476DC">
        <w:rPr>
          <w:rFonts w:ascii="Arial" w:hAnsi="Arial"/>
        </w:rPr>
        <w:t>201</w:t>
      </w:r>
      <w:r w:rsidR="004445FB">
        <w:rPr>
          <w:rFonts w:ascii="Arial" w:hAnsi="Arial"/>
        </w:rPr>
        <w:t>9</w:t>
      </w:r>
      <w:r w:rsidR="004445FB" w:rsidRPr="005476DC">
        <w:rPr>
          <w:rFonts w:ascii="Arial" w:hAnsi="Arial"/>
        </w:rPr>
        <w:t xml:space="preserve"> </w:t>
      </w:r>
      <w:r w:rsidRPr="005476DC">
        <w:rPr>
          <w:rFonts w:ascii="Arial" w:hAnsi="Arial"/>
        </w:rPr>
        <w:t xml:space="preserve">r. poz. </w:t>
      </w:r>
      <w:r w:rsidR="004445FB">
        <w:rPr>
          <w:rFonts w:ascii="Arial" w:hAnsi="Arial"/>
        </w:rPr>
        <w:t xml:space="preserve">1145 </w:t>
      </w:r>
      <w:r w:rsidR="000478B7">
        <w:rPr>
          <w:rFonts w:ascii="Arial" w:hAnsi="Arial"/>
        </w:rPr>
        <w:t xml:space="preserve">z </w:t>
      </w:r>
      <w:proofErr w:type="spellStart"/>
      <w:r w:rsidR="000478B7">
        <w:rPr>
          <w:rFonts w:ascii="Arial" w:hAnsi="Arial"/>
        </w:rPr>
        <w:t>późn</w:t>
      </w:r>
      <w:proofErr w:type="spellEnd"/>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14:paraId="172C277D" w14:textId="77777777"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14:paraId="13F3ADD2" w14:textId="77777777"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z późn. zm.</w:t>
      </w:r>
      <w:r w:rsidR="00090E32" w:rsidRPr="007E469E">
        <w:rPr>
          <w:rFonts w:ascii="Arial" w:hAnsi="Arial"/>
        </w:rPr>
        <w:t>)</w:t>
      </w:r>
      <w:r w:rsidRPr="007E469E">
        <w:rPr>
          <w:rFonts w:ascii="Arial" w:hAnsi="Arial"/>
        </w:rPr>
        <w:t>;</w:t>
      </w:r>
    </w:p>
    <w:p w14:paraId="2D3BFE06" w14:textId="688B4D02"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4445FB">
        <w:rPr>
          <w:rFonts w:ascii="Arial" w:hAnsi="Arial"/>
        </w:rPr>
        <w:t xml:space="preserve"> projektu</w:t>
      </w:r>
      <w:r w:rsidR="008A467D" w:rsidRPr="008B5852">
        <w:rPr>
          <w:rFonts w:ascii="Arial" w:hAnsi="Arial"/>
        </w:rPr>
        <w:t>;</w:t>
      </w:r>
    </w:p>
    <w:p w14:paraId="718CEAF8" w14:textId="78ABD0A5" w:rsidR="00A6331E" w:rsidRDefault="005A349B" w:rsidP="004445FB">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w:t>
      </w:r>
      <w:r w:rsidR="004445FB">
        <w:rPr>
          <w:rFonts w:ascii="Arial" w:hAnsi="Arial"/>
        </w:rPr>
        <w:t xml:space="preserve"> i wolontariusze </w:t>
      </w:r>
      <w:r w:rsidR="004445FB" w:rsidRPr="004445FB">
        <w:rPr>
          <w:rFonts w:ascii="Arial" w:hAnsi="Arial"/>
        </w:rPr>
        <w:t>wykonujący świadczenia na zasadach określonych w ustawie z dnia 24 kwietnia 2003 r. o działalności pożytku publicznego i o wolontariacie (Dz. U. z 2019 r. poz. 688, z późn. zm.);, personelem projektu jest też osoba fizyczna prowadząca działalność gospodarczą będąca beneficjentem oraz osoby z nią współpracujące w rozumieniu art. 8 ust. 11</w:t>
      </w:r>
      <w:r w:rsidR="008B5852">
        <w:rPr>
          <w:rFonts w:ascii="Arial" w:hAnsi="Arial"/>
        </w:rPr>
        <w:t xml:space="preserve">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w:t>
      </w:r>
      <w:r w:rsidR="00B57FA4">
        <w:rPr>
          <w:rFonts w:ascii="Arial" w:hAnsi="Arial"/>
        </w:rPr>
        <w:t>20</w:t>
      </w:r>
      <w:r w:rsidR="000478B7">
        <w:rPr>
          <w:rFonts w:ascii="Arial" w:hAnsi="Arial"/>
        </w:rPr>
        <w:t xml:space="preserve"> </w:t>
      </w:r>
      <w:r w:rsidR="008B5852">
        <w:rPr>
          <w:rFonts w:ascii="Arial" w:hAnsi="Arial"/>
        </w:rPr>
        <w:t xml:space="preserve">r. poz. </w:t>
      </w:r>
      <w:r w:rsidR="004445FB">
        <w:rPr>
          <w:rFonts w:ascii="Arial" w:hAnsi="Arial"/>
        </w:rPr>
        <w:t>3</w:t>
      </w:r>
      <w:r w:rsidR="00B57FA4">
        <w:rPr>
          <w:rFonts w:ascii="Arial" w:hAnsi="Arial"/>
        </w:rPr>
        <w:t>266</w:t>
      </w:r>
      <w:r w:rsidR="00854B6B">
        <w:rPr>
          <w:rFonts w:ascii="Arial" w:hAnsi="Arial"/>
        </w:rPr>
        <w:t xml:space="preserve"> z </w:t>
      </w:r>
      <w:proofErr w:type="spellStart"/>
      <w:r w:rsidR="00854B6B">
        <w:rPr>
          <w:rFonts w:ascii="Arial" w:hAnsi="Arial"/>
        </w:rPr>
        <w:t>późn</w:t>
      </w:r>
      <w:proofErr w:type="spellEnd"/>
      <w:r w:rsidR="00854B6B">
        <w:rPr>
          <w:rFonts w:ascii="Arial" w:hAnsi="Arial"/>
        </w:rPr>
        <w:t>. zm.</w:t>
      </w:r>
      <w:r w:rsidR="008B5852">
        <w:rPr>
          <w:rFonts w:ascii="Arial" w:hAnsi="Arial"/>
        </w:rPr>
        <w:t>)</w:t>
      </w:r>
      <w:r w:rsidR="00FB4547">
        <w:rPr>
          <w:rFonts w:ascii="Arial" w:hAnsi="Arial"/>
        </w:rPr>
        <w:t>;</w:t>
      </w:r>
    </w:p>
    <w:p w14:paraId="461F0E2D" w14:textId="77777777"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w:t>
      </w:r>
      <w:r>
        <w:rPr>
          <w:rFonts w:ascii="Arial" w:hAnsi="Arial"/>
        </w:rPr>
        <w:lastRenderedPageBreak/>
        <w:t xml:space="preserve">organizacyjnej i finansowej rozumianej jako brak samodzielności dysponowania środkami publicznymi (dysponent II i III stopnia); </w:t>
      </w:r>
    </w:p>
    <w:p w14:paraId="306FA559" w14:textId="77777777"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de minimis</w:t>
      </w:r>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de minimis</w:t>
      </w:r>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Europejskiej do pomocy </w:t>
      </w:r>
      <w:r w:rsidR="00FB4547" w:rsidRPr="00D61F73">
        <w:rPr>
          <w:rFonts w:ascii="Arial" w:hAnsi="Arial" w:cs="Arial"/>
          <w:i/>
        </w:rPr>
        <w:t>de minimis</w:t>
      </w:r>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14:paraId="4627085F" w14:textId="77777777"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również pomocy de minimis;</w:t>
      </w:r>
      <w:r w:rsidR="00FB4547">
        <w:rPr>
          <w:rFonts w:ascii="Arial" w:hAnsi="Arial"/>
        </w:rPr>
        <w:t xml:space="preserve"> </w:t>
      </w:r>
    </w:p>
    <w:p w14:paraId="6278F176" w14:textId="77777777"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de minimis</w:t>
      </w:r>
      <w:r w:rsidR="00F155A0" w:rsidRPr="003E791C">
        <w:rPr>
          <w:rFonts w:ascii="Arial" w:hAnsi="Arial"/>
        </w:rPr>
        <w:t>, będącej przedmiotem jego regulacji;</w:t>
      </w:r>
    </w:p>
    <w:p w14:paraId="54D42A9C" w14:textId="59F2F283"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Prawo budowlane – ustawa z dnia 7 lipca 1994 r. Prawo budowlane (Tekst jedn.: Dz.U. z 201</w:t>
      </w:r>
      <w:r w:rsidR="00B57FA4">
        <w:rPr>
          <w:rFonts w:ascii="Arial" w:hAnsi="Arial"/>
        </w:rPr>
        <w:t>9</w:t>
      </w:r>
      <w:r w:rsidRPr="00800E96">
        <w:rPr>
          <w:rFonts w:ascii="Arial" w:hAnsi="Arial"/>
        </w:rPr>
        <w:t xml:space="preserve"> r., poz. </w:t>
      </w:r>
      <w:r w:rsidR="00B57FA4">
        <w:rPr>
          <w:rFonts w:ascii="Arial" w:hAnsi="Arial"/>
        </w:rPr>
        <w:t>1186</w:t>
      </w:r>
      <w:r w:rsidRPr="00800E96">
        <w:rPr>
          <w:rFonts w:ascii="Arial" w:hAnsi="Arial"/>
        </w:rPr>
        <w:t xml:space="preserve"> z </w:t>
      </w:r>
      <w:proofErr w:type="spellStart"/>
      <w:r w:rsidRPr="00800E96">
        <w:rPr>
          <w:rFonts w:ascii="Arial" w:hAnsi="Arial"/>
        </w:rPr>
        <w:t>późn</w:t>
      </w:r>
      <w:proofErr w:type="spellEnd"/>
      <w:r w:rsidRPr="00800E96">
        <w:rPr>
          <w:rFonts w:ascii="Arial" w:hAnsi="Arial"/>
        </w:rPr>
        <w:t>. zm.)</w:t>
      </w:r>
      <w:r>
        <w:rPr>
          <w:rFonts w:ascii="Arial" w:hAnsi="Arial"/>
        </w:rPr>
        <w:t>;</w:t>
      </w:r>
    </w:p>
    <w:p w14:paraId="6A738E57" w14:textId="77777777"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14:paraId="6E28A07B" w14:textId="77777777"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14:paraId="27A178B5" w14:textId="77777777" w:rsidR="00DC1597"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14:paraId="12D2AAFF" w14:textId="02354801" w:rsidR="00B57FA4" w:rsidRPr="007E469E" w:rsidRDefault="00B57FA4" w:rsidP="00B57FA4">
      <w:pPr>
        <w:numPr>
          <w:ilvl w:val="0"/>
          <w:numId w:val="13"/>
        </w:numPr>
        <w:spacing w:before="240" w:after="240" w:line="360" w:lineRule="auto"/>
        <w:contextualSpacing/>
        <w:jc w:val="both"/>
        <w:rPr>
          <w:rFonts w:ascii="Arial" w:hAnsi="Arial"/>
        </w:rPr>
      </w:pPr>
      <w:r>
        <w:rPr>
          <w:rFonts w:ascii="Arial" w:hAnsi="Arial"/>
        </w:rPr>
        <w:t xml:space="preserve">roboty budowlane - </w:t>
      </w:r>
      <w:r w:rsidRPr="00B57FA4">
        <w:rPr>
          <w:rFonts w:ascii="Arial" w:hAnsi="Arial"/>
        </w:rPr>
        <w:t>wykonanie albo zaprojektowanie i wykonanie robót budowalnych określonych w przepisach wydanych na podstawie art. 2c Pzp lub obiektu budowlanego, a także realizację obiektu budowlanego, za pomocą dowolnych środków, zgodnie z wymaganiami określonymi przez zamawiającego;</w:t>
      </w:r>
    </w:p>
    <w:p w14:paraId="78A0927D"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14:paraId="4320C457"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lastRenderedPageBreak/>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14:paraId="5B190C0E"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14:paraId="6AF055BE" w14:textId="77777777"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t>
      </w:r>
      <w:proofErr w:type="spellStart"/>
      <w:r w:rsidR="002F22B0" w:rsidRPr="007E0360">
        <w:rPr>
          <w:rFonts w:ascii="Arial" w:eastAsia="Calibri" w:hAnsi="Arial" w:cs="Arial"/>
        </w:rPr>
        <w:t>w</w:t>
      </w:r>
      <w:r w:rsidR="002F22B0">
        <w:rPr>
          <w:rFonts w:ascii="Arial" w:eastAsia="Calibri" w:hAnsi="Arial" w:cs="Arial"/>
        </w:rPr>
        <w:t>y</w:t>
      </w:r>
      <w:r w:rsidR="002F22B0" w:rsidRPr="007E0360">
        <w:rPr>
          <w:rFonts w:ascii="Arial" w:eastAsia="Calibri" w:hAnsi="Arial" w:cs="Arial"/>
        </w:rPr>
        <w:t>łączeniach</w:t>
      </w:r>
      <w:proofErr w:type="spellEnd"/>
      <w:r w:rsidR="002F22B0" w:rsidRPr="007E0360">
        <w:rPr>
          <w:rFonts w:ascii="Arial" w:eastAsia="Calibri" w:hAnsi="Arial" w:cs="Arial"/>
        </w:rPr>
        <w:t xml:space="preserve"> blokowych/grupowych</w:t>
      </w:r>
      <w:r w:rsidR="000F289A" w:rsidRPr="007E469E">
        <w:rPr>
          <w:rFonts w:ascii="Arial" w:hAnsi="Arial" w:cs="Arial"/>
        </w:rPr>
        <w:t>;</w:t>
      </w:r>
    </w:p>
    <w:p w14:paraId="21164001" w14:textId="77777777"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ozporządzenie Komisji (UE) nr 1407/ 2013 z dnia 18 grudnia 2013 r. w sprawie stosowania art. 107 i 108 Traktatu o funkcjonowaniu Unii Europejskiej do pomocy de minimis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14:paraId="6DA22214" w14:textId="77777777"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 xml:space="preserve">rozporządzenie nr 966/2012 – rozporządzenie Parlamentu Europejskiego i Rady (UE,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xml:space="preserve">) nr 966/2012 z dnia 25 października 2012 r. w sprawie zasad finansowych mających zastosowanie do budżetu ogólnego Unii oraz uchylające rozporządzenie Rady (WE,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nr 1605/2002;</w:t>
      </w:r>
    </w:p>
    <w:p w14:paraId="0002508E"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14:paraId="73D911A7" w14:textId="564A93F4"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201</w:t>
      </w:r>
      <w:r w:rsidR="00583274">
        <w:rPr>
          <w:rFonts w:ascii="Arial" w:hAnsi="Arial"/>
        </w:rPr>
        <w:t>9</w:t>
      </w:r>
      <w:r w:rsidR="000478B7">
        <w:rPr>
          <w:rFonts w:ascii="Arial" w:hAnsi="Arial"/>
        </w:rPr>
        <w:t xml:space="preserve"> </w:t>
      </w:r>
      <w:r w:rsidR="00B1308B">
        <w:rPr>
          <w:rFonts w:ascii="Arial" w:hAnsi="Arial"/>
        </w:rPr>
        <w:t>r.</w:t>
      </w:r>
      <w:r w:rsidR="008E35A2">
        <w:rPr>
          <w:rFonts w:ascii="Arial" w:hAnsi="Arial"/>
        </w:rPr>
        <w:t>,</w:t>
      </w:r>
      <w:r w:rsidR="008E35A2" w:rsidRPr="00EF5BA8">
        <w:rPr>
          <w:rFonts w:ascii="Arial" w:hAnsi="Arial"/>
        </w:rPr>
        <w:t xml:space="preserve"> poz. </w:t>
      </w:r>
      <w:r w:rsidR="00583274">
        <w:rPr>
          <w:rFonts w:ascii="Arial" w:hAnsi="Arial"/>
        </w:rPr>
        <w:t>351</w:t>
      </w:r>
      <w:r w:rsidR="008E35A2">
        <w:rPr>
          <w:rFonts w:ascii="Arial" w:hAnsi="Arial"/>
        </w:rPr>
        <w:t xml:space="preserve">, z </w:t>
      </w:r>
      <w:proofErr w:type="spellStart"/>
      <w:r w:rsidR="008E35A2">
        <w:rPr>
          <w:rFonts w:ascii="Arial" w:hAnsi="Arial"/>
        </w:rPr>
        <w:t>późn</w:t>
      </w:r>
      <w:proofErr w:type="spellEnd"/>
      <w:r w:rsidR="008E35A2">
        <w:rPr>
          <w:rFonts w:ascii="Arial" w:hAnsi="Arial"/>
        </w:rPr>
        <w:t>.</w:t>
      </w:r>
      <w:r w:rsidR="00387ABF">
        <w:rPr>
          <w:rFonts w:ascii="Arial" w:hAnsi="Arial"/>
        </w:rPr>
        <w:t xml:space="preserve"> </w:t>
      </w:r>
      <w:r w:rsidR="008E35A2">
        <w:rPr>
          <w:rFonts w:ascii="Arial" w:hAnsi="Arial"/>
        </w:rPr>
        <w:t>zm.</w:t>
      </w:r>
      <w:r w:rsidR="008E35A2" w:rsidRPr="00EF5BA8">
        <w:rPr>
          <w:rFonts w:ascii="Arial" w:hAnsi="Arial"/>
        </w:rPr>
        <w:t>)</w:t>
      </w:r>
      <w:r w:rsidR="00583274">
        <w:rPr>
          <w:rFonts w:ascii="Arial" w:hAnsi="Arial"/>
        </w:rPr>
        <w:t xml:space="preserve"> z zastrzeżeniem inwestycji, o których mowa w art. 3 ust. 1 pkt 17 tej ustawy</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w:t>
      </w:r>
      <w:r w:rsidR="008E35A2" w:rsidRPr="00EF5BA8">
        <w:rPr>
          <w:rFonts w:ascii="Arial" w:eastAsia="MS Mincho" w:hAnsi="Arial" w:cs="Arial"/>
          <w:lang w:eastAsia="ja-JP"/>
        </w:rPr>
        <w:lastRenderedPageBreak/>
        <w:t>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14:paraId="69872B1A" w14:textId="77777777"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14:paraId="018D80C1" w14:textId="77777777"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z późn. zm.),</w:t>
      </w:r>
    </w:p>
    <w:p w14:paraId="2C912CB4" w14:textId="77777777"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14:paraId="586CBEE5" w14:textId="77777777"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14:paraId="4E16182A" w14:textId="221E716C" w:rsidR="00583274" w:rsidRDefault="00583274" w:rsidP="00583274">
      <w:pPr>
        <w:numPr>
          <w:ilvl w:val="0"/>
          <w:numId w:val="13"/>
        </w:numPr>
        <w:spacing w:after="0" w:line="360" w:lineRule="auto"/>
        <w:jc w:val="both"/>
        <w:rPr>
          <w:rFonts w:ascii="Arial" w:hAnsi="Arial" w:cs="Arial"/>
        </w:rPr>
      </w:pPr>
      <w:r>
        <w:rPr>
          <w:rFonts w:ascii="Arial" w:hAnsi="Arial" w:cs="Arial"/>
        </w:rPr>
        <w:t xml:space="preserve">usługi - </w:t>
      </w:r>
      <w:r w:rsidRPr="00583274">
        <w:rPr>
          <w:rFonts w:ascii="Arial" w:hAnsi="Arial" w:cs="Arial"/>
        </w:rPr>
        <w:t>wszelkie świadczenia, których przedmiotem nie są roboty budowlane lub dostawy</w:t>
      </w:r>
      <w:r>
        <w:rPr>
          <w:rFonts w:ascii="Arial" w:hAnsi="Arial" w:cs="Arial"/>
        </w:rPr>
        <w:t>;</w:t>
      </w:r>
    </w:p>
    <w:p w14:paraId="7609E124" w14:textId="1C8AD42E"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 xml:space="preserve">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w:t>
      </w:r>
      <w:r w:rsidRPr="00F04887">
        <w:rPr>
          <w:rFonts w:ascii="Arial" w:hAnsi="Arial" w:cs="Arial"/>
        </w:rPr>
        <w:lastRenderedPageBreak/>
        <w:t>określonymi w ustawie o rachunkowości</w:t>
      </w:r>
      <w:r w:rsidR="002C5156" w:rsidRPr="00395C47">
        <w:rPr>
          <w:rStyle w:val="Odwoanieprzypisudolnego"/>
          <w:rFonts w:ascii="Arial" w:hAnsi="Arial" w:cs="Arial"/>
          <w:sz w:val="18"/>
          <w:szCs w:val="18"/>
        </w:rPr>
        <w:footnoteReference w:id="4"/>
      </w:r>
      <w:r w:rsidRPr="00EF5BA8">
        <w:rPr>
          <w:rFonts w:ascii="Arial" w:hAnsi="Arial" w:cs="Arial"/>
        </w:rPr>
        <w:t>;</w:t>
      </w:r>
      <w:r w:rsidR="00583274">
        <w:rPr>
          <w:rFonts w:ascii="Arial" w:hAnsi="Arial" w:cs="Arial"/>
        </w:rPr>
        <w:t xml:space="preserve"> do wartości niematerialnych i prawnych zalicza się również nabytą wartość firmy oraz koszty zakończonych prac rozwojowych;</w:t>
      </w:r>
    </w:p>
    <w:p w14:paraId="740F21D4" w14:textId="1910A881"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583274">
        <w:rPr>
          <w:rFonts w:ascii="Arial" w:hAnsi="Arial" w:cs="Arial"/>
        </w:rPr>
        <w:t xml:space="preserve"> rozumian</w:t>
      </w:r>
      <w:r w:rsidR="00C37D03">
        <w:rPr>
          <w:rFonts w:ascii="Arial" w:hAnsi="Arial" w:cs="Arial"/>
        </w:rPr>
        <w:t>ą,</w:t>
      </w:r>
      <w:r w:rsidR="00583274">
        <w:rPr>
          <w:rFonts w:ascii="Arial" w:hAnsi="Arial" w:cs="Arial"/>
        </w:rPr>
        <w:t xml:space="preserve"> jako % dofinansowania wydatków kwalifikowalnych</w:t>
      </w:r>
      <w:r w:rsidRPr="007E469E">
        <w:rPr>
          <w:rFonts w:ascii="Arial" w:hAnsi="Arial" w:cs="Arial"/>
        </w:rPr>
        <w:t>)</w:t>
      </w:r>
      <w:r w:rsidR="004425CF" w:rsidRPr="007E469E">
        <w:rPr>
          <w:rFonts w:ascii="Arial" w:hAnsi="Arial" w:cs="Arial"/>
        </w:rPr>
        <w:t>;</w:t>
      </w:r>
    </w:p>
    <w:p w14:paraId="0391B6AF" w14:textId="77777777"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14:paraId="081A0403" w14:textId="0068EC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583274">
        <w:rPr>
          <w:rFonts w:ascii="Arial" w:hAnsi="Arial" w:cs="Arial"/>
        </w:rPr>
        <w:t xml:space="preserve"> projektu</w:t>
      </w:r>
      <w:r w:rsidR="004425CF" w:rsidRPr="007E469E">
        <w:rPr>
          <w:rFonts w:ascii="Arial" w:hAnsi="Arial" w:cs="Arial"/>
        </w:rPr>
        <w:t>;</w:t>
      </w:r>
    </w:p>
    <w:p w14:paraId="69188F8D"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14:paraId="6E47F15B" w14:textId="0A395D93"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 xml:space="preserve">osobę fizyczną, </w:t>
      </w:r>
      <w:r w:rsidR="00583274">
        <w:rPr>
          <w:rFonts w:ascii="Arial" w:hAnsi="Arial" w:cs="Arial"/>
        </w:rPr>
        <w:t xml:space="preserve">niebędącą personelem projektem w rozumieniu pkt. </w:t>
      </w:r>
      <w:r w:rsidR="00C37D03">
        <w:rPr>
          <w:rFonts w:ascii="Arial" w:hAnsi="Arial" w:cs="Arial"/>
        </w:rPr>
        <w:t>20</w:t>
      </w:r>
      <w:r w:rsidR="00583274">
        <w:rPr>
          <w:rFonts w:ascii="Arial" w:hAnsi="Arial" w:cs="Arial"/>
        </w:rPr>
        <w:t xml:space="preserve">, </w:t>
      </w:r>
      <w:r w:rsidR="008E50AF" w:rsidRPr="00F21869">
        <w:rPr>
          <w:rFonts w:ascii="Arial" w:hAnsi="Arial" w:cs="Arial"/>
        </w:rPr>
        <w:t xml:space="preserve">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w projekcie realizowanym w ramach POPC;</w:t>
      </w:r>
    </w:p>
    <w:p w14:paraId="590327CB" w14:textId="77777777"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14:paraId="691A7AC6" w14:textId="77777777"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ws.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14:paraId="37E4EA94" w14:textId="77777777"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Pzp,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14:paraId="6407F1C7" w14:textId="77777777" w:rsidR="00692FB8" w:rsidRDefault="00692FB8">
      <w:pPr>
        <w:rPr>
          <w:rFonts w:ascii="Arial" w:hAnsi="Arial" w:cs="Arial"/>
          <w:i/>
        </w:rPr>
      </w:pPr>
      <w:r>
        <w:rPr>
          <w:rFonts w:ascii="Arial" w:hAnsi="Arial" w:cs="Arial"/>
          <w:i/>
        </w:rPr>
        <w:br w:type="page"/>
      </w:r>
    </w:p>
    <w:p w14:paraId="1FD33A1C" w14:textId="77777777"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4" w:name="_Toc478993703"/>
      <w:bookmarkStart w:id="25" w:name="_Toc478993704"/>
      <w:bookmarkStart w:id="26" w:name="_Toc384969091"/>
      <w:bookmarkStart w:id="27" w:name="_Toc10542516"/>
      <w:bookmarkEnd w:id="24"/>
      <w:bookmarkEnd w:id="25"/>
      <w:r w:rsidRPr="007E469E">
        <w:rPr>
          <w:rFonts w:ascii="Arial" w:hAnsi="Arial" w:cs="Arial"/>
          <w:color w:val="auto"/>
          <w:sz w:val="24"/>
          <w:szCs w:val="24"/>
        </w:rPr>
        <w:lastRenderedPageBreak/>
        <w:t xml:space="preserve">Rozdział - Cel, zakres oraz obowiązywanie </w:t>
      </w:r>
      <w:bookmarkEnd w:id="26"/>
      <w:r w:rsidR="00D454D4">
        <w:rPr>
          <w:rFonts w:ascii="Arial" w:hAnsi="Arial" w:cs="Arial"/>
          <w:i/>
          <w:color w:val="auto"/>
          <w:sz w:val="24"/>
          <w:szCs w:val="24"/>
        </w:rPr>
        <w:t>Katalogu</w:t>
      </w:r>
      <w:bookmarkEnd w:id="27"/>
    </w:p>
    <w:p w14:paraId="0568FD59" w14:textId="77777777"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14:paraId="27CBE326" w14:textId="77777777"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14:paraId="53D5FBE6" w14:textId="77777777"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14:paraId="611DDE07" w14:textId="40A43144" w:rsidR="0041513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de minimis</w:t>
      </w:r>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14:paraId="162A3745" w14:textId="77777777"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14:paraId="6C96FE92" w14:textId="77777777"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8" w:name="39"/>
      <w:bookmarkStart w:id="29" w:name="_Toc396130032"/>
      <w:bookmarkStart w:id="30" w:name="_Toc396130107"/>
      <w:bookmarkEnd w:id="28"/>
      <w:bookmarkEnd w:id="29"/>
      <w:bookmarkEnd w:id="30"/>
    </w:p>
    <w:p w14:paraId="77B12331" w14:textId="77777777" w:rsidR="00944E2A" w:rsidRDefault="00944E2A">
      <w:pPr>
        <w:rPr>
          <w:rFonts w:ascii="Arial" w:eastAsiaTheme="majorEastAsia" w:hAnsi="Arial" w:cs="Arial"/>
          <w:b/>
          <w:bCs/>
          <w:sz w:val="24"/>
          <w:szCs w:val="24"/>
        </w:rPr>
      </w:pPr>
      <w:r>
        <w:rPr>
          <w:rFonts w:ascii="Arial" w:hAnsi="Arial" w:cs="Arial"/>
          <w:sz w:val="24"/>
          <w:szCs w:val="24"/>
        </w:rPr>
        <w:br w:type="page"/>
      </w:r>
    </w:p>
    <w:p w14:paraId="61A00E41" w14:textId="77777777"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1" w:name="_Toc10542517"/>
      <w:r w:rsidRPr="007E469E">
        <w:rPr>
          <w:rFonts w:ascii="Arial" w:hAnsi="Arial" w:cs="Arial"/>
          <w:color w:val="auto"/>
          <w:sz w:val="24"/>
          <w:szCs w:val="24"/>
        </w:rPr>
        <w:lastRenderedPageBreak/>
        <w:t>Rozdział - Wspólne warunki i procedury w zakresie kwalifikowalności wydatków</w:t>
      </w:r>
      <w:bookmarkEnd w:id="31"/>
    </w:p>
    <w:p w14:paraId="544FAC67" w14:textId="77777777"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14:paraId="0F95CEA0" w14:textId="77777777" w:rsidR="0047796B" w:rsidRPr="007E469E" w:rsidRDefault="0047796B" w:rsidP="00903FFD">
      <w:pPr>
        <w:spacing w:before="120" w:after="120" w:line="360" w:lineRule="auto"/>
        <w:jc w:val="both"/>
        <w:rPr>
          <w:rFonts w:ascii="Arial" w:hAnsi="Arial" w:cs="Arial"/>
        </w:rPr>
      </w:pPr>
    </w:p>
    <w:p w14:paraId="0124967D" w14:textId="77777777"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2" w:name="_Toc10542518"/>
      <w:r w:rsidRPr="007E469E">
        <w:rPr>
          <w:rFonts w:ascii="Arial" w:hAnsi="Arial" w:cs="Arial"/>
          <w:i/>
          <w:color w:val="auto"/>
          <w:sz w:val="24"/>
          <w:szCs w:val="24"/>
        </w:rPr>
        <w:t>Ocena kwalifikowalności wydatku.</w:t>
      </w:r>
      <w:bookmarkEnd w:id="32"/>
    </w:p>
    <w:p w14:paraId="73ADDC06" w14:textId="77777777"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14:paraId="6FDECF3C" w14:textId="77777777"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14:paraId="51C11C51" w14:textId="77777777"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de minimis</w:t>
      </w:r>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14:paraId="78684270" w14:textId="77777777" w:rsidR="00903FFD" w:rsidRPr="007E469E" w:rsidRDefault="00903FFD" w:rsidP="00903FFD">
      <w:pPr>
        <w:spacing w:after="0" w:line="240" w:lineRule="auto"/>
        <w:rPr>
          <w:rFonts w:ascii="Arial" w:eastAsia="Times New Roman" w:hAnsi="Arial" w:cs="Times New Roman"/>
          <w:bCs/>
          <w:sz w:val="18"/>
          <w:szCs w:val="18"/>
          <w:lang w:eastAsia="pl-PL"/>
        </w:rPr>
      </w:pPr>
    </w:p>
    <w:p w14:paraId="52C9BBEC" w14:textId="77777777"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10542519"/>
      <w:r w:rsidRPr="00B81671">
        <w:rPr>
          <w:rFonts w:ascii="Arial" w:hAnsi="Arial" w:cs="Arial"/>
          <w:i/>
          <w:color w:val="auto"/>
          <w:sz w:val="24"/>
          <w:szCs w:val="24"/>
        </w:rPr>
        <w:t>Zasada faktycznego poniesienia wydatku</w:t>
      </w:r>
      <w:bookmarkEnd w:id="33"/>
    </w:p>
    <w:p w14:paraId="203B22AE" w14:textId="77777777"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14:paraId="17AE2DCD" w14:textId="77777777"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14:paraId="101FDAFB"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14:paraId="312089EE"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14:paraId="48583286" w14:textId="77777777"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14:paraId="7A9707F5" w14:textId="2ABAE11E"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w:t>
      </w:r>
      <w:r w:rsidR="0041513D">
        <w:rPr>
          <w:rFonts w:ascii="Arial" w:hAnsi="Arial" w:cs="Arial"/>
        </w:rPr>
        <w:t>płatniczego</w:t>
      </w:r>
      <w:r w:rsidR="0041513D" w:rsidRPr="00B81671">
        <w:rPr>
          <w:rFonts w:ascii="Arial" w:hAnsi="Arial" w:cs="Arial"/>
        </w:rPr>
        <w:t xml:space="preserve"> </w:t>
      </w:r>
      <w:r w:rsidR="00132869" w:rsidRPr="00B81671">
        <w:rPr>
          <w:rFonts w:ascii="Arial" w:hAnsi="Arial" w:cs="Arial"/>
        </w:rPr>
        <w:lastRenderedPageBreak/>
        <w:t xml:space="preserve">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0041513D" w:rsidRPr="00B81671">
        <w:rPr>
          <w:rFonts w:ascii="Arial" w:hAnsi="Arial" w:cs="Arial"/>
        </w:rPr>
        <w:t>201</w:t>
      </w:r>
      <w:r w:rsidR="0041513D">
        <w:rPr>
          <w:rFonts w:ascii="Arial" w:hAnsi="Arial" w:cs="Arial"/>
        </w:rPr>
        <w:t>8</w:t>
      </w:r>
      <w:r w:rsidR="0041513D" w:rsidRPr="00B81671">
        <w:rPr>
          <w:rFonts w:ascii="Arial" w:hAnsi="Arial" w:cs="Arial"/>
        </w:rPr>
        <w:t xml:space="preserve"> </w:t>
      </w:r>
      <w:r w:rsidR="00B176BD" w:rsidRPr="00B81671">
        <w:rPr>
          <w:rFonts w:ascii="Arial" w:hAnsi="Arial" w:cs="Arial"/>
        </w:rPr>
        <w:t xml:space="preserve">r. poz. </w:t>
      </w:r>
      <w:r w:rsidR="0041513D">
        <w:rPr>
          <w:rFonts w:ascii="Arial" w:hAnsi="Arial" w:cs="Arial"/>
        </w:rPr>
        <w:t>2</w:t>
      </w:r>
      <w:r w:rsidR="00E06E3A">
        <w:rPr>
          <w:rFonts w:ascii="Arial" w:hAnsi="Arial" w:cs="Arial"/>
        </w:rPr>
        <w:t>187</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14:paraId="0F193493" w14:textId="77777777"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14:paraId="55029489" w14:textId="77777777"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14:paraId="5F094141" w14:textId="77777777"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14:paraId="011953A0" w14:textId="77777777"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14:paraId="43A9E203" w14:textId="77777777"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14:paraId="67507278" w14:textId="77777777"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14:paraId="144441AF" w14:textId="77777777"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14:paraId="1998931E" w14:textId="77777777"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14:paraId="0D50B6C0" w14:textId="77777777"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de minimis</w:t>
      </w:r>
      <w:r w:rsidRPr="00285F07">
        <w:rPr>
          <w:rFonts w:ascii="Arial" w:hAnsi="Arial" w:cs="Arial"/>
        </w:rPr>
        <w:t xml:space="preserve">, </w:t>
      </w:r>
    </w:p>
    <w:p w14:paraId="6C7F96D9" w14:textId="77777777"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14:paraId="75CAFE63" w14:textId="77777777"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14:paraId="078E0A0A" w14:textId="77777777" w:rsidR="007A523D" w:rsidRPr="00B81671" w:rsidRDefault="001163F6" w:rsidP="009E7AB2">
      <w:pPr>
        <w:spacing w:before="120" w:after="120" w:line="360" w:lineRule="auto"/>
        <w:ind w:left="357" w:hanging="215"/>
        <w:jc w:val="both"/>
      </w:pPr>
      <w:r w:rsidRPr="00B81671">
        <w:rPr>
          <w:rFonts w:ascii="Arial" w:hAnsi="Arial" w:cs="Arial"/>
        </w:rPr>
        <w:lastRenderedPageBreak/>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14:paraId="6F23CEAA" w14:textId="77777777"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14:paraId="4BBC2FF7" w14:textId="77777777"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14:paraId="0D88F944" w14:textId="77777777"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14:paraId="5ACF53B5" w14:textId="77777777"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14:paraId="5ECB34D2" w14:textId="77777777"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14:paraId="34B655F9" w14:textId="77777777"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14:paraId="520D0AB2" w14:textId="77777777"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14:paraId="59603551" w14:textId="77777777"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14:paraId="5AEA386B" w14:textId="77777777"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14:paraId="66835276"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14:paraId="56FF60CB"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14:paraId="1E31231D" w14:textId="77777777"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w:t>
      </w:r>
      <w:r w:rsidR="00C35303" w:rsidRPr="00B81671">
        <w:rPr>
          <w:rFonts w:ascii="Arial" w:eastAsia="Times New Roman" w:hAnsi="Arial" w:cs="Arial"/>
          <w:lang w:eastAsia="pl-PL"/>
        </w:rPr>
        <w:lastRenderedPageBreak/>
        <w:t xml:space="preserve">kwoty netto, składki PZU, składki i spłaty pożyczek mieszkaniowych, składki na ubezpieczenia społeczne, składki na ubezpieczenia zdrowotne, składaki na Fundusz Pracy, podatek dochodowy od osób fizycznych, </w:t>
      </w:r>
    </w:p>
    <w:p w14:paraId="5E1CE16E"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14:paraId="15012742"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14:paraId="684BD0D6"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14:paraId="3F9794FB" w14:textId="77777777"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14:paraId="353B48F6" w14:textId="77777777"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14:paraId="3E6ACECC" w14:textId="77777777"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14:paraId="228C4240" w14:textId="6948BE5F"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 xml:space="preserve">Dz. U. z </w:t>
      </w:r>
      <w:r w:rsidR="0041513D" w:rsidRPr="00B81671">
        <w:rPr>
          <w:rFonts w:ascii="Arial" w:eastAsia="Times New Roman" w:hAnsi="Arial" w:cs="Arial"/>
          <w:lang w:eastAsia="pl-PL"/>
        </w:rPr>
        <w:t>201</w:t>
      </w:r>
      <w:r w:rsidR="0041513D">
        <w:rPr>
          <w:rFonts w:ascii="Arial" w:eastAsia="Times New Roman" w:hAnsi="Arial" w:cs="Arial"/>
          <w:lang w:eastAsia="pl-PL"/>
        </w:rPr>
        <w:t>8</w:t>
      </w:r>
      <w:r w:rsidR="0041513D" w:rsidRPr="00B81671">
        <w:rPr>
          <w:rFonts w:ascii="Arial" w:eastAsia="Times New Roman" w:hAnsi="Arial" w:cs="Arial"/>
          <w:lang w:eastAsia="pl-PL"/>
        </w:rPr>
        <w:t xml:space="preserve"> </w:t>
      </w:r>
      <w:r w:rsidR="0052190D" w:rsidRPr="00B81671">
        <w:rPr>
          <w:rFonts w:ascii="Arial" w:eastAsia="Times New Roman" w:hAnsi="Arial" w:cs="Arial"/>
          <w:lang w:eastAsia="pl-PL"/>
        </w:rPr>
        <w:t xml:space="preserve">r. poz. </w:t>
      </w:r>
      <w:r w:rsidR="0041513D">
        <w:rPr>
          <w:rFonts w:ascii="Arial" w:eastAsia="Times New Roman" w:hAnsi="Arial" w:cs="Arial"/>
          <w:lang w:eastAsia="pl-PL"/>
        </w:rPr>
        <w:t>2</w:t>
      </w:r>
      <w:r w:rsidR="003F1F22">
        <w:rPr>
          <w:rFonts w:ascii="Arial" w:eastAsia="Times New Roman" w:hAnsi="Arial" w:cs="Arial"/>
          <w:lang w:eastAsia="pl-PL"/>
        </w:rPr>
        <w:t>2</w:t>
      </w:r>
      <w:r w:rsidR="0041513D">
        <w:rPr>
          <w:rFonts w:ascii="Arial" w:eastAsia="Times New Roman" w:hAnsi="Arial" w:cs="Arial"/>
          <w:lang w:eastAsia="pl-PL"/>
        </w:rPr>
        <w:t>0</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14:paraId="79D6586E" w14:textId="77777777"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14:paraId="2F0B63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14:paraId="62EA9E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14:paraId="5DC5286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biletami lotniczymi wystawionymi w formie papierowej lub elektronicznej, wraz z fakturami VAT i dowodami zapłaty,</w:t>
      </w:r>
    </w:p>
    <w:p w14:paraId="6FACEC7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14:paraId="57F939C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14:paraId="0F2B1E8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14:paraId="043FE017"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14:paraId="2184962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14:paraId="7681B1D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14:paraId="68910E46"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14:paraId="1FDD8D0A"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14:paraId="11788AE8" w14:textId="77777777"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14:paraId="5875AAB1" w14:textId="77777777"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14:paraId="35221BEC"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14:paraId="7895FB7B"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14:paraId="2CDD9A37"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14:paraId="4C7205A0"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 xml:space="preserve">dokument „Kasa przyjmie” (KP) lub „Kasa wypłaci” (KW) – zawierający odniesienie do faktury lub dokumentu księgowego o równoważnej wartości dowodowej, którego </w:t>
      </w:r>
      <w:r w:rsidRPr="00B81671">
        <w:rPr>
          <w:rFonts w:ascii="Arial" w:hAnsi="Arial" w:cs="Arial"/>
        </w:rPr>
        <w:lastRenderedPageBreak/>
        <w:t>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14:paraId="4D4E9634"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14:paraId="5AE522E1"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14:paraId="2377F15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14:paraId="4B72B47B"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14:paraId="0A82A1A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14:paraId="5080951A"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14:paraId="6FE4F5F0" w14:textId="77777777"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14:paraId="3DBBDCD1"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14:paraId="6B1315AA"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14:paraId="56330F7F"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 xml:space="preserve">wymiar godzinowy, </w:t>
      </w:r>
    </w:p>
    <w:p w14:paraId="7FE654F9" w14:textId="77777777"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14:paraId="4256CC7E"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14:paraId="16EFD751"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14:paraId="0A23F43A" w14:textId="77777777"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14:paraId="205D1895" w14:textId="77777777"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5"/>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14:paraId="2E84D8D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14:paraId="39802366" w14:textId="77777777"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w:t>
      </w:r>
      <w:r w:rsidR="0030208A" w:rsidRPr="00B81671">
        <w:rPr>
          <w:rFonts w:ascii="Arial" w:hAnsi="Arial" w:cs="Arial"/>
        </w:rPr>
        <w:lastRenderedPageBreak/>
        <w:t>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14:paraId="03DAD1B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14:paraId="7CACA5F5" w14:textId="77777777"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14:paraId="06679C99" w14:textId="77777777" w:rsidR="00AA40E5" w:rsidRPr="00A555CE" w:rsidRDefault="00AA40E5" w:rsidP="007D733F">
      <w:pPr>
        <w:pStyle w:val="Akapitzlist"/>
        <w:spacing w:after="0" w:line="360" w:lineRule="auto"/>
        <w:ind w:left="360"/>
        <w:jc w:val="both"/>
        <w:rPr>
          <w:rFonts w:ascii="Arial" w:hAnsi="Arial" w:cs="Arial"/>
        </w:rPr>
      </w:pPr>
    </w:p>
    <w:p w14:paraId="4FEF3EF8" w14:textId="77777777"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4" w:name="_Toc10542520"/>
      <w:bookmarkStart w:id="35" w:name="_Toc399917175"/>
      <w:r w:rsidRPr="00B81671">
        <w:rPr>
          <w:rFonts w:ascii="Arial" w:hAnsi="Arial" w:cs="Arial"/>
          <w:i/>
          <w:color w:val="auto"/>
          <w:sz w:val="24"/>
          <w:szCs w:val="24"/>
        </w:rPr>
        <w:t>Warunki oraz okres kwalifikowania wydatków w projektach podlegających zasadom pomocy publicznej</w:t>
      </w:r>
      <w:bookmarkEnd w:id="34"/>
    </w:p>
    <w:p w14:paraId="284FA270"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14:paraId="12175D3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6"/>
      </w:r>
      <w:r w:rsidRPr="00B81671">
        <w:rPr>
          <w:rFonts w:ascii="Arial" w:hAnsi="Arial" w:cs="Arial"/>
        </w:rPr>
        <w:t xml:space="preserve"> – obowiązują ramy czasowe określone w tym akcie.</w:t>
      </w:r>
    </w:p>
    <w:p w14:paraId="255F8EC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14:paraId="5DF51792"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14:paraId="1E962D7C"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14:paraId="025BA1AD"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14:paraId="10562319"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14:paraId="538D20DE" w14:textId="77777777"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14:paraId="6832CAA0"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de minimis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ws. pomocy de minimis.</w:t>
      </w:r>
    </w:p>
    <w:p w14:paraId="7F943E21"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14:paraId="7520684E"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14:paraId="774E5CF6"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14:paraId="1451477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14:paraId="0D2FBB6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14:paraId="7B35656F" w14:textId="77777777"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14:paraId="4A815FAA" w14:textId="77777777"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7"/>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8"/>
      </w:r>
      <w:r w:rsidR="004D07F4" w:rsidRPr="000C59D9">
        <w:rPr>
          <w:rFonts w:ascii="Arial" w:hAnsi="Arial" w:cs="Arial"/>
        </w:rPr>
        <w:t>.</w:t>
      </w:r>
    </w:p>
    <w:p w14:paraId="603FDED6"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14:paraId="0D54AF08" w14:textId="77777777"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w:t>
      </w:r>
      <w:r w:rsidRPr="00B81671">
        <w:rPr>
          <w:rFonts w:ascii="Arial" w:hAnsi="Arial" w:cs="Arial"/>
        </w:rPr>
        <w:lastRenderedPageBreak/>
        <w:t>przygotowawczych, takich jak uzyskanie stosownych zezwoleń, czy przeprowadzenie studiów wykonalności, co do zasady, nie uważa się za rozpoczęcie prac.</w:t>
      </w:r>
    </w:p>
    <w:p w14:paraId="04CB7FFB"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14:paraId="0DF96AE5"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14:paraId="34869B33"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14:paraId="2AFCBC5C"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14:paraId="3CD2DE2E"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14:paraId="00A24C81"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14:paraId="6D5D9068"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14:paraId="3979D1AE"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14:paraId="116DD4CF"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14:paraId="3D89BF73"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14:paraId="688265B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minimis)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14:paraId="6D85B7A8" w14:textId="77777777"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w:t>
      </w:r>
      <w:r w:rsidRPr="00B81671">
        <w:rPr>
          <w:rFonts w:ascii="Arial" w:hAnsi="Arial" w:cs="Arial"/>
        </w:rPr>
        <w:lastRenderedPageBreak/>
        <w:t>2014 – zastosowanie mają regulacje Załącznika I do tego Rozporządzenia. W przypadku pomocy de minimis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14:paraId="3DE3AA7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14:paraId="621013AA"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9"/>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0"/>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14:paraId="1DCF3894" w14:textId="77777777"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1"/>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14:paraId="31BA34BF" w14:textId="77777777" w:rsidR="00E639F6" w:rsidRPr="00E639F6" w:rsidRDefault="00E639F6" w:rsidP="00E639F6">
      <w:pPr>
        <w:pStyle w:val="Akapitzlist"/>
        <w:spacing w:before="120" w:after="120" w:line="360" w:lineRule="auto"/>
        <w:ind w:left="360"/>
        <w:jc w:val="both"/>
        <w:rPr>
          <w:rFonts w:ascii="Arial" w:hAnsi="Arial" w:cs="Arial"/>
        </w:rPr>
      </w:pPr>
    </w:p>
    <w:p w14:paraId="4F8658F4" w14:textId="77777777"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6" w:name="_Toc407115848"/>
      <w:bookmarkStart w:id="37" w:name="_Toc407116378"/>
      <w:bookmarkStart w:id="38" w:name="_Toc491432427"/>
      <w:bookmarkStart w:id="39" w:name="_Toc491432428"/>
      <w:bookmarkStart w:id="40" w:name="_Toc491432429"/>
      <w:bookmarkStart w:id="41" w:name="_Toc491432430"/>
      <w:bookmarkStart w:id="42" w:name="_Toc428535187"/>
      <w:bookmarkStart w:id="43" w:name="_Toc431295988"/>
      <w:bookmarkStart w:id="44" w:name="_Toc10542521"/>
      <w:bookmarkStart w:id="45" w:name="_Toc406509583"/>
      <w:bookmarkEnd w:id="36"/>
      <w:bookmarkEnd w:id="37"/>
      <w:bookmarkEnd w:id="38"/>
      <w:bookmarkEnd w:id="39"/>
      <w:bookmarkEnd w:id="40"/>
      <w:bookmarkEnd w:id="41"/>
      <w:r>
        <w:rPr>
          <w:rFonts w:ascii="Arial" w:hAnsi="Arial" w:cs="Arial"/>
          <w:i/>
          <w:color w:val="000000" w:themeColor="text1"/>
          <w:sz w:val="24"/>
          <w:szCs w:val="24"/>
        </w:rPr>
        <w:lastRenderedPageBreak/>
        <w:t>Zamówienia udzielane w projektach</w:t>
      </w:r>
      <w:bookmarkEnd w:id="42"/>
      <w:bookmarkEnd w:id="43"/>
      <w:bookmarkEnd w:id="44"/>
    </w:p>
    <w:p w14:paraId="700F731C" w14:textId="77777777"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14:paraId="1BBFFDA6" w14:textId="77777777"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14:paraId="2F72822D"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14:paraId="56F8CD04"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14:paraId="21DDF609" w14:textId="77777777"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Pzp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14:paraId="5B347A1B" w14:textId="77777777"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14:paraId="073D388D" w14:textId="77777777"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14:paraId="52AF2B6C" w14:textId="77777777"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6" w:name="_Toc429043882"/>
      <w:bookmarkStart w:id="47" w:name="_Toc10542522"/>
      <w:bookmarkEnd w:id="35"/>
      <w:bookmarkEnd w:id="45"/>
      <w:bookmarkEnd w:id="46"/>
      <w:r w:rsidRPr="00C60541">
        <w:rPr>
          <w:rFonts w:ascii="Arial" w:hAnsi="Arial" w:cs="Arial"/>
          <w:i/>
          <w:color w:val="auto"/>
          <w:sz w:val="24"/>
          <w:szCs w:val="24"/>
        </w:rPr>
        <w:t>Leasing</w:t>
      </w:r>
      <w:bookmarkEnd w:id="47"/>
    </w:p>
    <w:p w14:paraId="2521C2E6" w14:textId="77777777"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14:paraId="1B3EC447" w14:textId="77777777"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14:paraId="51FC9FA6" w14:textId="77777777"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14:paraId="6385848F" w14:textId="77777777" w:rsidR="006F58D2" w:rsidRPr="00B81671" w:rsidRDefault="006F58D2" w:rsidP="00C0534E">
      <w:pPr>
        <w:ind w:left="426"/>
        <w:jc w:val="both"/>
        <w:rPr>
          <w:rFonts w:ascii="Arial" w:hAnsi="Arial" w:cs="Arial"/>
        </w:rPr>
      </w:pPr>
      <w:r w:rsidRPr="00B81671">
        <w:rPr>
          <w:rFonts w:ascii="Arial" w:hAnsi="Arial" w:cs="Arial"/>
        </w:rPr>
        <w:t>b) marżę finansującego,</w:t>
      </w:r>
    </w:p>
    <w:p w14:paraId="143B5950" w14:textId="77777777"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14:paraId="43DE131A" w14:textId="77777777"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14:paraId="398F9966" w14:textId="77777777" w:rsidR="006F58D2" w:rsidRDefault="006F58D2" w:rsidP="00C0534E">
      <w:pPr>
        <w:ind w:left="426"/>
        <w:jc w:val="both"/>
        <w:rPr>
          <w:rFonts w:ascii="Arial" w:hAnsi="Arial" w:cs="Arial"/>
        </w:rPr>
      </w:pPr>
      <w:r w:rsidRPr="00B81671">
        <w:rPr>
          <w:rFonts w:ascii="Arial" w:hAnsi="Arial" w:cs="Arial"/>
        </w:rPr>
        <w:t>e) opłaty ubezpieczeniowe.</w:t>
      </w:r>
    </w:p>
    <w:p w14:paraId="54FCA66F" w14:textId="77777777" w:rsidR="00964FDE" w:rsidRDefault="00964FDE" w:rsidP="00C0534E">
      <w:pPr>
        <w:ind w:left="426"/>
        <w:jc w:val="both"/>
        <w:rPr>
          <w:rFonts w:ascii="Arial" w:hAnsi="Arial" w:cs="Arial"/>
        </w:rPr>
      </w:pPr>
    </w:p>
    <w:p w14:paraId="7B89DBFE" w14:textId="77777777"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8" w:name="_Toc10542523"/>
      <w:r w:rsidRPr="00554E0C">
        <w:rPr>
          <w:rFonts w:ascii="Arial" w:hAnsi="Arial" w:cs="Arial"/>
          <w:i/>
          <w:color w:val="auto"/>
          <w:sz w:val="24"/>
          <w:szCs w:val="24"/>
        </w:rPr>
        <w:lastRenderedPageBreak/>
        <w:t>Projekty generujące dochód po zakończeniu realizacji projektów</w:t>
      </w:r>
      <w:bookmarkEnd w:id="48"/>
    </w:p>
    <w:p w14:paraId="72C9A026" w14:textId="77777777"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14:paraId="3C11BBD4" w14:textId="77777777"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14:paraId="0F5F8EC2" w14:textId="77777777"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14:paraId="5FF45AAD" w14:textId="77777777"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407115853"/>
      <w:bookmarkStart w:id="50" w:name="_Toc407116383"/>
      <w:bookmarkStart w:id="51" w:name="_Toc10542524"/>
      <w:bookmarkEnd w:id="49"/>
      <w:bookmarkEnd w:id="50"/>
      <w:r w:rsidRPr="007E469E">
        <w:rPr>
          <w:rFonts w:ascii="Arial" w:hAnsi="Arial" w:cs="Arial"/>
          <w:i/>
          <w:color w:val="auto"/>
          <w:sz w:val="24"/>
          <w:szCs w:val="24"/>
        </w:rPr>
        <w:t>Kwalifikowalność podatku VAT i innych podatków, opłat i obciążeń</w:t>
      </w:r>
      <w:bookmarkEnd w:id="51"/>
    </w:p>
    <w:p w14:paraId="3C479383" w14:textId="77777777"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14:paraId="20F2DB50" w14:textId="77777777"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14:paraId="1FD453EC" w14:textId="77777777" w:rsidR="00903FFD" w:rsidRPr="0090047B" w:rsidRDefault="00903FFD" w:rsidP="00A01186">
      <w:pPr>
        <w:spacing w:after="0" w:line="360" w:lineRule="auto"/>
        <w:jc w:val="both"/>
        <w:rPr>
          <w:rFonts w:ascii="Arial" w:hAnsi="Arial" w:cs="Arial"/>
        </w:rPr>
      </w:pPr>
    </w:p>
    <w:p w14:paraId="2FA43FA1" w14:textId="77777777"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2" w:name="_Toc417549284"/>
      <w:bookmarkStart w:id="53" w:name="_Toc417549353"/>
      <w:bookmarkStart w:id="54" w:name="_Toc417549422"/>
      <w:bookmarkStart w:id="55" w:name="_Toc418584390"/>
      <w:bookmarkStart w:id="56" w:name="_Toc418588606"/>
      <w:bookmarkStart w:id="57" w:name="_Toc407115859"/>
      <w:bookmarkStart w:id="58" w:name="_Toc407116389"/>
      <w:bookmarkStart w:id="59" w:name="_Toc468090827"/>
      <w:bookmarkStart w:id="60" w:name="_Toc468090864"/>
      <w:bookmarkStart w:id="61" w:name="_Toc468092733"/>
      <w:bookmarkStart w:id="62" w:name="_Toc468092770"/>
      <w:bookmarkStart w:id="63" w:name="_Toc468090828"/>
      <w:bookmarkStart w:id="64" w:name="_Toc468090865"/>
      <w:bookmarkStart w:id="65" w:name="_Toc468092734"/>
      <w:bookmarkStart w:id="66" w:name="_Toc468092771"/>
      <w:bookmarkStart w:id="67" w:name="_Toc468090829"/>
      <w:bookmarkStart w:id="68" w:name="_Toc468090866"/>
      <w:bookmarkStart w:id="69" w:name="_Toc468092735"/>
      <w:bookmarkStart w:id="70" w:name="_Toc468092772"/>
      <w:bookmarkStart w:id="71" w:name="_Toc468090830"/>
      <w:bookmarkStart w:id="72" w:name="_Toc468090867"/>
      <w:bookmarkStart w:id="73" w:name="_Toc468092736"/>
      <w:bookmarkStart w:id="74" w:name="_Toc468092773"/>
      <w:bookmarkStart w:id="75" w:name="_Toc105425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81671">
        <w:rPr>
          <w:rFonts w:ascii="Arial" w:hAnsi="Arial" w:cs="Arial"/>
          <w:i/>
          <w:color w:val="auto"/>
          <w:sz w:val="24"/>
          <w:szCs w:val="24"/>
        </w:rPr>
        <w:t>Duży projekt – zasady identyfikacji</w:t>
      </w:r>
      <w:bookmarkEnd w:id="75"/>
      <w:r w:rsidRPr="00B81671">
        <w:rPr>
          <w:rFonts w:ascii="Arial" w:hAnsi="Arial" w:cs="Arial"/>
          <w:i/>
          <w:color w:val="auto"/>
          <w:sz w:val="24"/>
          <w:szCs w:val="24"/>
        </w:rPr>
        <w:t xml:space="preserve"> </w:t>
      </w:r>
    </w:p>
    <w:p w14:paraId="4B29D47C" w14:textId="77777777"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2"/>
      </w:r>
      <w:r w:rsidRPr="00B81671">
        <w:rPr>
          <w:rFonts w:cs="Arial"/>
          <w:szCs w:val="22"/>
        </w:rPr>
        <w:t>.</w:t>
      </w:r>
      <w:r w:rsidR="0020096F">
        <w:rPr>
          <w:rFonts w:cs="Arial"/>
          <w:szCs w:val="22"/>
        </w:rPr>
        <w:t xml:space="preserve"> </w:t>
      </w:r>
    </w:p>
    <w:p w14:paraId="1EC98073" w14:textId="77777777"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14:paraId="335188BB" w14:textId="77777777"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t>
      </w:r>
      <w:r w:rsidRPr="00B81671">
        <w:rPr>
          <w:rFonts w:cs="Arial"/>
          <w:szCs w:val="22"/>
        </w:rPr>
        <w:lastRenderedPageBreak/>
        <w:t>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3"/>
      </w:r>
      <w:r w:rsidRPr="00B81671">
        <w:rPr>
          <w:rFonts w:cs="Arial"/>
          <w:szCs w:val="22"/>
        </w:rPr>
        <w:t>.</w:t>
      </w:r>
    </w:p>
    <w:p w14:paraId="59F73650" w14:textId="77777777"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14:paraId="7BEB86BB"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14:paraId="159CB4D0"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14:paraId="37D15339"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14:paraId="74728C5E" w14:textId="77777777"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14:paraId="697FEA1B" w14:textId="77777777" w:rsidR="00903FFD" w:rsidRPr="007E469E" w:rsidRDefault="00903FFD" w:rsidP="0069794E">
      <w:pPr>
        <w:pStyle w:val="Akapit"/>
        <w:keepNext w:val="0"/>
        <w:numPr>
          <w:ilvl w:val="0"/>
          <w:numId w:val="0"/>
        </w:numPr>
        <w:spacing w:before="120" w:after="120"/>
        <w:outlineLvl w:val="5"/>
        <w:rPr>
          <w:rFonts w:cs="Arial"/>
          <w:szCs w:val="22"/>
        </w:rPr>
      </w:pPr>
    </w:p>
    <w:p w14:paraId="6B4506AA"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6" w:name="_Toc10542526"/>
      <w:r w:rsidRPr="00B81671">
        <w:rPr>
          <w:rFonts w:ascii="Arial" w:hAnsi="Arial" w:cs="Arial"/>
          <w:i/>
          <w:color w:val="auto"/>
          <w:sz w:val="24"/>
          <w:szCs w:val="24"/>
        </w:rPr>
        <w:t>Podmiot dokonujący wydatków kwalifikowalnych</w:t>
      </w:r>
      <w:bookmarkEnd w:id="76"/>
    </w:p>
    <w:p w14:paraId="521DA76F" w14:textId="77777777"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14:paraId="56AD3AF1" w14:textId="77777777"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14:paraId="4EBB25C9" w14:textId="77777777"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14:paraId="7CA581FB" w14:textId="77777777"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 xml:space="preserve">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postanowienia dotyczące wzajemnych praw i obowiązków stron gwarantujące </w:t>
      </w:r>
      <w:r w:rsidRPr="00A6331E">
        <w:rPr>
          <w:rFonts w:ascii="Arial" w:eastAsia="Times New Roman" w:hAnsi="Arial" w:cs="Arial"/>
          <w:lang w:eastAsia="pl-PL"/>
        </w:rPr>
        <w:lastRenderedPageBreak/>
        <w:t>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14:paraId="747884F3" w14:textId="77777777"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14:paraId="4E914767" w14:textId="77777777"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14:paraId="366D0E43" w14:textId="77777777"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14:paraId="10C903FF"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14:paraId="0AAB1772"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14:paraId="60AF20AB"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14:paraId="39851910"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14:paraId="421F4597"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14:paraId="44BD9656" w14:textId="77777777"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14:paraId="383D2AF9"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10542527"/>
      <w:r w:rsidRPr="00B81671">
        <w:rPr>
          <w:rFonts w:ascii="Arial" w:hAnsi="Arial" w:cs="Arial"/>
          <w:i/>
          <w:color w:val="auto"/>
          <w:sz w:val="24"/>
          <w:szCs w:val="24"/>
        </w:rPr>
        <w:t>Podmiot na rzecz którego ponoszone są wydatki kwalifikowalne</w:t>
      </w:r>
      <w:bookmarkEnd w:id="77"/>
    </w:p>
    <w:p w14:paraId="1DA6621C"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14:paraId="130E82DF"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14:paraId="2EBF6F6B" w14:textId="1DBA4AC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14:paraId="01221D83" w14:textId="77777777"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14:paraId="14D2E290" w14:textId="77777777"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14:paraId="794A7C16" w14:textId="77777777"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14:paraId="3987522A"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14:paraId="1767E25D"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14:paraId="0763B9BE"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14:paraId="17D96B18" w14:textId="77777777"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14:paraId="0AEE2C9F" w14:textId="77777777" w:rsidR="00FF2954" w:rsidRPr="007E469E" w:rsidRDefault="00FF2954" w:rsidP="00FF2954">
      <w:pPr>
        <w:spacing w:before="120" w:after="120" w:line="360" w:lineRule="auto"/>
        <w:ind w:left="360"/>
        <w:jc w:val="both"/>
        <w:rPr>
          <w:rFonts w:ascii="Arial" w:eastAsia="Times New Roman" w:hAnsi="Arial" w:cs="Arial"/>
          <w:lang w:eastAsia="pl-PL"/>
        </w:rPr>
      </w:pPr>
    </w:p>
    <w:p w14:paraId="6E328C60" w14:textId="77777777" w:rsidR="005A373A" w:rsidRDefault="005A373A">
      <w:pPr>
        <w:rPr>
          <w:rFonts w:ascii="Arial" w:eastAsia="Times New Roman" w:hAnsi="Arial" w:cs="Arial"/>
          <w:lang w:eastAsia="pl-PL"/>
        </w:rPr>
      </w:pPr>
      <w:r>
        <w:rPr>
          <w:rFonts w:ascii="Arial" w:eastAsia="Times New Roman" w:hAnsi="Arial" w:cs="Arial"/>
          <w:lang w:eastAsia="pl-PL"/>
        </w:rPr>
        <w:br w:type="page"/>
      </w:r>
    </w:p>
    <w:p w14:paraId="24403D0E" w14:textId="77777777"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8" w:name="_Toc429043896"/>
      <w:bookmarkStart w:id="79" w:name="_Toc10542528"/>
      <w:bookmarkEnd w:id="78"/>
      <w:r w:rsidRPr="007E469E">
        <w:rPr>
          <w:rFonts w:ascii="Arial" w:hAnsi="Arial" w:cs="Arial"/>
          <w:color w:val="auto"/>
          <w:sz w:val="24"/>
          <w:szCs w:val="24"/>
        </w:rPr>
        <w:lastRenderedPageBreak/>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79"/>
    </w:p>
    <w:p w14:paraId="4F73176E"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14:paraId="0D56AC88"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14:paraId="5125A184" w14:textId="77777777"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14:paraId="2BB22311" w14:textId="77777777"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t>
      </w:r>
      <w:r w:rsidR="005A09CB" w:rsidRPr="00804B85">
        <w:rPr>
          <w:rFonts w:ascii="Arial" w:eastAsia="MS Mincho" w:hAnsi="Arial" w:cs="Arial"/>
          <w:bCs/>
          <w:lang w:eastAsia="ja-JP"/>
        </w:rPr>
        <w:t xml:space="preserve">wysokości </w:t>
      </w:r>
      <w:r w:rsidR="00DD1152" w:rsidRPr="00D032C2">
        <w:rPr>
          <w:rFonts w:ascii="Arial" w:eastAsia="MS Mincho" w:hAnsi="Arial" w:cs="Arial"/>
          <w:bCs/>
          <w:lang w:eastAsia="ja-JP"/>
        </w:rPr>
        <w:t xml:space="preserve">do </w:t>
      </w:r>
      <w:r w:rsidR="005A09CB" w:rsidRPr="00804B85">
        <w:rPr>
          <w:rFonts w:ascii="Arial" w:eastAsia="MS Mincho" w:hAnsi="Arial" w:cs="Arial"/>
          <w:bCs/>
          <w:lang w:eastAsia="ja-JP"/>
        </w:rPr>
        <w:t xml:space="preserve">15% bezpośrednich kwalifikowanych kosztów wykazanych w kategorii </w:t>
      </w:r>
      <w:r w:rsidR="005A09CB" w:rsidRPr="00804B85">
        <w:rPr>
          <w:rFonts w:ascii="Arial" w:eastAsia="MS Mincho" w:hAnsi="Arial" w:cs="Arial"/>
          <w:bCs/>
          <w:i/>
          <w:lang w:eastAsia="ja-JP"/>
        </w:rPr>
        <w:t>Wynagrodzenia pracowników wykonujących merytoryczne zadania bezpośrednio związane z głównymi celami i produktami projektu</w:t>
      </w:r>
      <w:r w:rsidR="005A09CB" w:rsidRPr="00804B85">
        <w:rPr>
          <w:rFonts w:ascii="Arial" w:eastAsia="MS Mincho" w:hAnsi="Arial" w:cs="Arial"/>
          <w:bCs/>
          <w:lang w:eastAsia="ja-JP"/>
        </w:rPr>
        <w:t xml:space="preserve"> na zasadach określonych w rozdziale 6.6 Wytycznych oraz w niniejszym </w:t>
      </w:r>
      <w:r w:rsidR="005A09CB" w:rsidRPr="00804B85">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6BF7FC0B" w14:textId="77777777"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14:paraId="238D2D08"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14:paraId="7A054945"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14:paraId="37D8D334" w14:textId="77777777"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14:paraId="142B448A" w14:textId="77777777"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Pzp,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14:paraId="5AF12305" w14:textId="77777777"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lastRenderedPageBreak/>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14:paraId="6FD95C31" w14:textId="77777777" w:rsid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14:paraId="00B2BACB" w14:textId="77777777" w:rsidR="00796060" w:rsidRDefault="00F55210"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 xml:space="preserve">Katalog wydatków kwalifikowalnych dla projektów realizowanych w działaniu 2.1 w ramach „uproszczonej procedury” </w:t>
      </w:r>
      <w:r w:rsidR="00985C06">
        <w:rPr>
          <w:rFonts w:ascii="Arial" w:eastAsia="MS Mincho" w:hAnsi="Arial" w:cs="Arial"/>
          <w:lang w:eastAsia="ja-JP"/>
        </w:rPr>
        <w:t xml:space="preserve">znajduje się w sekcji </w:t>
      </w:r>
      <w:r w:rsidR="000E40B6">
        <w:rPr>
          <w:rFonts w:ascii="Arial" w:eastAsia="MS Mincho" w:hAnsi="Arial" w:cs="Arial"/>
          <w:lang w:eastAsia="ja-JP"/>
        </w:rPr>
        <w:t xml:space="preserve">4.1.4 niniejszego </w:t>
      </w:r>
      <w:r w:rsidR="000E40B6" w:rsidRPr="000E40B6">
        <w:rPr>
          <w:rFonts w:ascii="Arial" w:eastAsia="MS Mincho" w:hAnsi="Arial" w:cs="Arial"/>
          <w:i/>
          <w:lang w:eastAsia="ja-JP"/>
        </w:rPr>
        <w:t>Katalogu</w:t>
      </w:r>
      <w:r w:rsidR="000E40B6">
        <w:rPr>
          <w:rFonts w:ascii="Arial" w:eastAsia="MS Mincho" w:hAnsi="Arial" w:cs="Arial"/>
          <w:lang w:eastAsia="ja-JP"/>
        </w:rPr>
        <w:t>.</w:t>
      </w:r>
      <w:r w:rsidR="00985C06">
        <w:rPr>
          <w:rFonts w:ascii="Arial" w:eastAsia="MS Mincho" w:hAnsi="Arial" w:cs="Arial"/>
          <w:lang w:eastAsia="ja-JP"/>
        </w:rPr>
        <w:t xml:space="preserve"> </w:t>
      </w:r>
    </w:p>
    <w:p w14:paraId="34D47C78" w14:textId="211601DD" w:rsidR="007B47A8" w:rsidRPr="00ED1E1F" w:rsidRDefault="007B47A8"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Katalog wydatków kwalifikowalnych dla projektów realizowanych w działaniu 2.4  „</w:t>
      </w:r>
      <w:r w:rsidRPr="00A805FF">
        <w:rPr>
          <w:rFonts w:ascii="Arial" w:eastAsia="MS Mincho" w:hAnsi="Arial" w:cs="Arial"/>
          <w:lang w:eastAsia="ja-JP"/>
        </w:rPr>
        <w:t>Tworzenie usług i aplikacji wykorzystujących e-usługi publiczne i informacje sektora publicznego</w:t>
      </w:r>
      <w:r>
        <w:rPr>
          <w:rFonts w:ascii="Arial" w:eastAsia="MS Mincho" w:hAnsi="Arial" w:cs="Arial"/>
          <w:lang w:eastAsia="ja-JP"/>
        </w:rPr>
        <w:t xml:space="preserve">” znajduje się w </w:t>
      </w:r>
      <w:r w:rsidR="00B052AB">
        <w:rPr>
          <w:rFonts w:ascii="Arial" w:eastAsia="MS Mincho" w:hAnsi="Arial" w:cs="Arial"/>
          <w:lang w:eastAsia="ja-JP"/>
        </w:rPr>
        <w:t xml:space="preserve">podrozdziale </w:t>
      </w:r>
      <w:r>
        <w:rPr>
          <w:rFonts w:ascii="Arial" w:eastAsia="MS Mincho" w:hAnsi="Arial" w:cs="Arial"/>
          <w:lang w:eastAsia="ja-JP"/>
        </w:rPr>
        <w:t>4.</w:t>
      </w:r>
      <w:r w:rsidR="00B052AB">
        <w:rPr>
          <w:rFonts w:ascii="Arial" w:eastAsia="MS Mincho" w:hAnsi="Arial" w:cs="Arial"/>
          <w:lang w:eastAsia="ja-JP"/>
        </w:rPr>
        <w:t>4</w:t>
      </w:r>
      <w:r>
        <w:rPr>
          <w:rFonts w:ascii="Arial" w:eastAsia="MS Mincho" w:hAnsi="Arial" w:cs="Arial"/>
          <w:lang w:eastAsia="ja-JP"/>
        </w:rPr>
        <w:t xml:space="preserve"> niniejszego </w:t>
      </w:r>
      <w:r w:rsidRPr="00A805FF">
        <w:rPr>
          <w:rFonts w:ascii="Arial" w:eastAsia="MS Mincho" w:hAnsi="Arial" w:cs="Arial"/>
          <w:i/>
          <w:lang w:eastAsia="ja-JP"/>
        </w:rPr>
        <w:t>Katalogu</w:t>
      </w:r>
      <w:r>
        <w:rPr>
          <w:rFonts w:ascii="Arial" w:eastAsia="MS Mincho" w:hAnsi="Arial" w:cs="Arial"/>
          <w:lang w:eastAsia="ja-JP"/>
        </w:rPr>
        <w:t>.</w:t>
      </w:r>
    </w:p>
    <w:p w14:paraId="63B49BF1" w14:textId="77777777"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8"/>
        <w:gridCol w:w="4606"/>
      </w:tblGrid>
      <w:tr w:rsidR="00903FFD" w:rsidRPr="007E469E" w14:paraId="222F3268" w14:textId="77777777"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F4E1C" w14:textId="77777777" w:rsidR="00903FFD" w:rsidRPr="007E469E" w:rsidRDefault="00903FFD" w:rsidP="00792F8A">
            <w:pPr>
              <w:jc w:val="center"/>
              <w:rPr>
                <w:rFonts w:ascii="Arial" w:hAnsi="Arial" w:cs="Arial"/>
                <w:b/>
              </w:rPr>
            </w:pPr>
          </w:p>
          <w:p w14:paraId="05F45A26" w14:textId="77777777" w:rsidR="00903FFD" w:rsidRPr="007E469E" w:rsidRDefault="00903FFD" w:rsidP="00792F8A">
            <w:pPr>
              <w:jc w:val="center"/>
              <w:rPr>
                <w:rFonts w:ascii="Arial" w:hAnsi="Arial" w:cs="Arial"/>
                <w:b/>
              </w:rPr>
            </w:pPr>
            <w:r w:rsidRPr="007E469E">
              <w:rPr>
                <w:rFonts w:ascii="Arial" w:hAnsi="Arial" w:cs="Arial"/>
                <w:b/>
              </w:rPr>
              <w:t>Kategoria</w:t>
            </w:r>
          </w:p>
          <w:p w14:paraId="0A330C58" w14:textId="77777777"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D49B5" w14:textId="77777777" w:rsidR="00903FFD" w:rsidRPr="007E469E" w:rsidRDefault="00903FFD" w:rsidP="00792F8A">
            <w:pPr>
              <w:jc w:val="center"/>
              <w:rPr>
                <w:rFonts w:ascii="Arial" w:hAnsi="Arial" w:cs="Arial"/>
                <w:b/>
              </w:rPr>
            </w:pPr>
          </w:p>
          <w:p w14:paraId="72B1985E" w14:textId="77777777"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14:paraId="50DA0B82" w14:textId="77777777" w:rsidTr="00792F8A">
        <w:tc>
          <w:tcPr>
            <w:tcW w:w="4498" w:type="dxa"/>
            <w:vMerge w:val="restart"/>
            <w:tcBorders>
              <w:top w:val="single" w:sz="4" w:space="0" w:color="auto"/>
              <w:left w:val="single" w:sz="4" w:space="0" w:color="auto"/>
              <w:right w:val="single" w:sz="4" w:space="0" w:color="auto"/>
            </w:tcBorders>
            <w:vAlign w:val="center"/>
          </w:tcPr>
          <w:p w14:paraId="07AD74C2" w14:textId="77777777"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14:paraId="2464FA10"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14:paraId="1A6D5B3D" w14:textId="77777777" w:rsidTr="00090C88">
        <w:tc>
          <w:tcPr>
            <w:tcW w:w="4498" w:type="dxa"/>
            <w:vMerge/>
            <w:tcBorders>
              <w:left w:val="single" w:sz="4" w:space="0" w:color="auto"/>
              <w:right w:val="single" w:sz="4" w:space="0" w:color="auto"/>
            </w:tcBorders>
            <w:vAlign w:val="center"/>
          </w:tcPr>
          <w:p w14:paraId="57F84FF2"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6C1FC8F5"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14:paraId="6F20B8D1" w14:textId="77777777" w:rsidTr="00792F8A">
        <w:tc>
          <w:tcPr>
            <w:tcW w:w="4498" w:type="dxa"/>
            <w:vMerge/>
            <w:tcBorders>
              <w:left w:val="single" w:sz="4" w:space="0" w:color="auto"/>
              <w:bottom w:val="single" w:sz="4" w:space="0" w:color="auto"/>
              <w:right w:val="single" w:sz="4" w:space="0" w:color="auto"/>
            </w:tcBorders>
            <w:vAlign w:val="center"/>
          </w:tcPr>
          <w:p w14:paraId="7051ECED"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11FB4207" w14:textId="77777777"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14:paraId="6C848231" w14:textId="77777777" w:rsidTr="00792F8A">
        <w:tc>
          <w:tcPr>
            <w:tcW w:w="4498" w:type="dxa"/>
            <w:vMerge w:val="restart"/>
            <w:tcBorders>
              <w:top w:val="single" w:sz="4" w:space="0" w:color="auto"/>
              <w:left w:val="single" w:sz="4" w:space="0" w:color="auto"/>
              <w:right w:val="single" w:sz="4" w:space="0" w:color="auto"/>
            </w:tcBorders>
            <w:vAlign w:val="center"/>
          </w:tcPr>
          <w:p w14:paraId="555F258E"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14:paraId="3E30ADB3"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14:paraId="19BACEE0" w14:textId="77777777" w:rsidTr="00792F8A">
        <w:tc>
          <w:tcPr>
            <w:tcW w:w="4498" w:type="dxa"/>
            <w:vMerge/>
            <w:tcBorders>
              <w:left w:val="single" w:sz="4" w:space="0" w:color="auto"/>
              <w:right w:val="single" w:sz="4" w:space="0" w:color="auto"/>
            </w:tcBorders>
            <w:vAlign w:val="center"/>
          </w:tcPr>
          <w:p w14:paraId="32838DA9"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7BDE499C"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14:paraId="5D868AB9" w14:textId="77777777" w:rsidTr="00F46CF9">
        <w:tc>
          <w:tcPr>
            <w:tcW w:w="4498" w:type="dxa"/>
            <w:vMerge/>
            <w:tcBorders>
              <w:left w:val="single" w:sz="4" w:space="0" w:color="auto"/>
              <w:right w:val="single" w:sz="4" w:space="0" w:color="auto"/>
            </w:tcBorders>
            <w:vAlign w:val="center"/>
          </w:tcPr>
          <w:p w14:paraId="2E9F1BC0"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28F86D51"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14:paraId="5D570BB3" w14:textId="77777777" w:rsidTr="00792F8A">
        <w:tc>
          <w:tcPr>
            <w:tcW w:w="4498" w:type="dxa"/>
            <w:vMerge/>
            <w:tcBorders>
              <w:left w:val="single" w:sz="4" w:space="0" w:color="auto"/>
              <w:bottom w:val="single" w:sz="4" w:space="0" w:color="auto"/>
              <w:right w:val="single" w:sz="4" w:space="0" w:color="auto"/>
            </w:tcBorders>
            <w:vAlign w:val="center"/>
          </w:tcPr>
          <w:p w14:paraId="0D84D44B"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3BD1091A" w14:textId="77777777"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14:paraId="5EE75D19" w14:textId="77777777" w:rsidTr="00792F8A">
        <w:tc>
          <w:tcPr>
            <w:tcW w:w="4498" w:type="dxa"/>
            <w:tcBorders>
              <w:left w:val="single" w:sz="4" w:space="0" w:color="auto"/>
              <w:bottom w:val="single" w:sz="4" w:space="0" w:color="auto"/>
              <w:right w:val="single" w:sz="4" w:space="0" w:color="auto"/>
            </w:tcBorders>
            <w:vAlign w:val="center"/>
          </w:tcPr>
          <w:p w14:paraId="6F68C963" w14:textId="77777777"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14:paraId="2202C25E" w14:textId="77777777" w:rsidR="00EB34E0" w:rsidRDefault="00EB34E0" w:rsidP="008E66D4">
            <w:pPr>
              <w:spacing w:before="120" w:after="120" w:line="240" w:lineRule="exact"/>
              <w:jc w:val="both"/>
              <w:rPr>
                <w:rFonts w:ascii="Arial" w:hAnsi="Arial" w:cs="Arial"/>
              </w:rPr>
            </w:pPr>
          </w:p>
        </w:tc>
      </w:tr>
      <w:tr w:rsidR="00352001" w:rsidRPr="007E469E" w14:paraId="7BC112BD" w14:textId="77777777" w:rsidTr="00973929">
        <w:trPr>
          <w:trHeight w:val="825"/>
        </w:trPr>
        <w:tc>
          <w:tcPr>
            <w:tcW w:w="4498" w:type="dxa"/>
            <w:tcBorders>
              <w:top w:val="single" w:sz="4" w:space="0" w:color="auto"/>
              <w:left w:val="single" w:sz="4" w:space="0" w:color="auto"/>
              <w:right w:val="single" w:sz="4" w:space="0" w:color="auto"/>
            </w:tcBorders>
            <w:vAlign w:val="center"/>
          </w:tcPr>
          <w:p w14:paraId="6CEB76D3" w14:textId="77777777"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14:paraId="203A6854" w14:textId="77777777" w:rsidR="00352001" w:rsidRPr="007E469E" w:rsidRDefault="00352001" w:rsidP="00973929">
            <w:pPr>
              <w:spacing w:before="120" w:after="120" w:line="240" w:lineRule="exact"/>
              <w:jc w:val="both"/>
              <w:rPr>
                <w:rFonts w:ascii="Arial" w:hAnsi="Arial" w:cs="Arial"/>
              </w:rPr>
            </w:pPr>
          </w:p>
        </w:tc>
      </w:tr>
      <w:tr w:rsidR="00EB34E0" w:rsidRPr="007E469E" w14:paraId="74562796" w14:textId="77777777" w:rsidTr="00F46CF9">
        <w:tc>
          <w:tcPr>
            <w:tcW w:w="4498" w:type="dxa"/>
            <w:vMerge w:val="restart"/>
            <w:tcBorders>
              <w:top w:val="single" w:sz="4" w:space="0" w:color="auto"/>
              <w:left w:val="single" w:sz="4" w:space="0" w:color="auto"/>
              <w:right w:val="single" w:sz="4" w:space="0" w:color="auto"/>
            </w:tcBorders>
            <w:vAlign w:val="center"/>
          </w:tcPr>
          <w:p w14:paraId="38F8CDA7"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14:paraId="3BF65636"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14:paraId="30148B77" w14:textId="77777777" w:rsidTr="00F46CF9">
        <w:tc>
          <w:tcPr>
            <w:tcW w:w="4498" w:type="dxa"/>
            <w:vMerge/>
            <w:tcBorders>
              <w:left w:val="single" w:sz="4" w:space="0" w:color="auto"/>
              <w:bottom w:val="single" w:sz="4" w:space="0" w:color="auto"/>
              <w:right w:val="single" w:sz="4" w:space="0" w:color="auto"/>
            </w:tcBorders>
            <w:vAlign w:val="center"/>
          </w:tcPr>
          <w:p w14:paraId="28399AC2"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44F2C24B"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14:paraId="7DB3C1D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1F37345E"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14:paraId="23E0AF59" w14:textId="77777777" w:rsidR="00903FFD" w:rsidRPr="007E469E" w:rsidRDefault="00903FFD" w:rsidP="00792F8A">
            <w:pPr>
              <w:spacing w:before="120" w:after="120" w:line="240" w:lineRule="exact"/>
              <w:jc w:val="both"/>
              <w:rPr>
                <w:rFonts w:ascii="Arial" w:hAnsi="Arial" w:cs="Arial"/>
              </w:rPr>
            </w:pPr>
          </w:p>
        </w:tc>
      </w:tr>
      <w:tr w:rsidR="00903FFD" w:rsidRPr="007E469E" w14:paraId="6D10C7E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41F82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lastRenderedPageBreak/>
              <w:t>Szkolenia</w:t>
            </w:r>
          </w:p>
        </w:tc>
        <w:tc>
          <w:tcPr>
            <w:tcW w:w="4606" w:type="dxa"/>
            <w:tcBorders>
              <w:top w:val="single" w:sz="4" w:space="0" w:color="auto"/>
              <w:left w:val="single" w:sz="4" w:space="0" w:color="auto"/>
              <w:bottom w:val="single" w:sz="4" w:space="0" w:color="auto"/>
              <w:right w:val="single" w:sz="4" w:space="0" w:color="auto"/>
            </w:tcBorders>
            <w:vAlign w:val="center"/>
          </w:tcPr>
          <w:p w14:paraId="77F0D463" w14:textId="77777777" w:rsidR="00903FFD" w:rsidRPr="007E469E" w:rsidRDefault="00903FFD" w:rsidP="00792F8A">
            <w:pPr>
              <w:spacing w:before="120" w:after="120" w:line="240" w:lineRule="exact"/>
              <w:jc w:val="both"/>
              <w:rPr>
                <w:rFonts w:ascii="Arial" w:hAnsi="Arial" w:cs="Arial"/>
              </w:rPr>
            </w:pPr>
          </w:p>
        </w:tc>
      </w:tr>
      <w:tr w:rsidR="00903FFD" w:rsidRPr="007E469E" w14:paraId="40F0EEBA"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D114ED"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14:paraId="6B1C8A42" w14:textId="77777777" w:rsidR="00903FFD" w:rsidRPr="007E469E" w:rsidRDefault="00903FFD" w:rsidP="00792F8A">
            <w:pPr>
              <w:spacing w:before="120" w:after="120" w:line="240" w:lineRule="exact"/>
              <w:jc w:val="both"/>
              <w:rPr>
                <w:rFonts w:ascii="Arial" w:hAnsi="Arial" w:cs="Arial"/>
              </w:rPr>
            </w:pPr>
          </w:p>
        </w:tc>
      </w:tr>
      <w:tr w:rsidR="00903FFD" w:rsidRPr="007E469E" w14:paraId="7BDF0EF6"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6032D02" w14:textId="77777777"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14:paraId="72E2A4F4" w14:textId="77777777" w:rsidR="00903FFD" w:rsidRPr="007E469E" w:rsidRDefault="00903FFD" w:rsidP="00792F8A">
            <w:pPr>
              <w:spacing w:before="120" w:after="120" w:line="240" w:lineRule="exact"/>
              <w:jc w:val="both"/>
              <w:rPr>
                <w:rFonts w:ascii="Arial" w:hAnsi="Arial" w:cs="Arial"/>
              </w:rPr>
            </w:pPr>
          </w:p>
        </w:tc>
      </w:tr>
      <w:tr w:rsidR="00903FFD" w:rsidRPr="007E469E" w14:paraId="3F97825F"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4DE9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14:paraId="43160A57" w14:textId="77777777" w:rsidR="00903FFD" w:rsidRPr="007E469E" w:rsidRDefault="00903FFD" w:rsidP="00792F8A">
            <w:pPr>
              <w:spacing w:before="120" w:after="120" w:line="240" w:lineRule="exact"/>
              <w:jc w:val="both"/>
              <w:rPr>
                <w:rFonts w:ascii="Arial" w:hAnsi="Arial" w:cs="Arial"/>
              </w:rPr>
            </w:pPr>
          </w:p>
        </w:tc>
      </w:tr>
    </w:tbl>
    <w:p w14:paraId="32715D64" w14:textId="77777777"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0" w:name="_Toc10542529"/>
      <w:r w:rsidRPr="007E469E">
        <w:rPr>
          <w:rFonts w:ascii="Arial" w:hAnsi="Arial" w:cs="Arial"/>
          <w:i/>
          <w:color w:val="auto"/>
          <w:sz w:val="24"/>
          <w:szCs w:val="24"/>
        </w:rPr>
        <w:t>Wydatki kwalifikowalne</w:t>
      </w:r>
      <w:bookmarkEnd w:id="80"/>
    </w:p>
    <w:p w14:paraId="421887DD" w14:textId="77777777"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1" w:name="_Toc10542530"/>
      <w:r w:rsidRPr="008D3EC8">
        <w:rPr>
          <w:rFonts w:ascii="Arial" w:hAnsi="Arial" w:cs="Arial"/>
          <w:b w:val="0"/>
          <w:i/>
          <w:color w:val="auto"/>
          <w:sz w:val="24"/>
          <w:szCs w:val="24"/>
        </w:rPr>
        <w:t>Wykaz wydatków kwalifikowalnych ponoszonych na rzecz projektów realizowanych w ramach II osi priorytetowej</w:t>
      </w:r>
      <w:bookmarkEnd w:id="81"/>
      <w:r w:rsidRPr="008D3EC8">
        <w:rPr>
          <w:rFonts w:ascii="Arial" w:hAnsi="Arial" w:cs="Arial"/>
          <w:b w:val="0"/>
          <w:i/>
          <w:color w:val="auto"/>
          <w:sz w:val="24"/>
          <w:szCs w:val="24"/>
        </w:rPr>
        <w:t xml:space="preserve"> </w:t>
      </w:r>
    </w:p>
    <w:p w14:paraId="42210E83" w14:textId="77777777"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14:paraId="0936A0A5" w14:textId="77777777"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14:paraId="0FBD8062" w14:textId="77777777"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14:paraId="73F2EA0B"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14:paraId="49099BE9" w14:textId="77777777"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14:paraId="10AF137D"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14:paraId="278B4DB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14:paraId="2631653C" w14:textId="77777777"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14:paraId="50057D05"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14:paraId="7D9A1AEE"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14:paraId="1C080ECE" w14:textId="77777777"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14:paraId="7C2CAF80" w14:textId="77777777"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lastRenderedPageBreak/>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14:paraId="5955CA51" w14:textId="77777777"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14:paraId="4B3F7957"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4"/>
      </w:r>
      <w:r w:rsidRPr="007E469E">
        <w:rPr>
          <w:rFonts w:ascii="Arial" w:eastAsia="Times New Roman" w:hAnsi="Arial" w:cs="Arial"/>
          <w:lang w:eastAsia="pl-PL"/>
        </w:rPr>
        <w:t xml:space="preserve"> </w:t>
      </w:r>
    </w:p>
    <w:p w14:paraId="5D1ED85E"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14:paraId="035F7F38"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wydatki na urządzenia sieciowe i osprzęt sieciowy pozwalający na przyłączenie do szerokopasmowego inte</w:t>
      </w:r>
      <w:r w:rsidR="002C6384">
        <w:rPr>
          <w:color w:val="auto"/>
          <w:sz w:val="22"/>
          <w:szCs w:val="22"/>
        </w:rPr>
        <w:t>r</w:t>
      </w:r>
      <w:r>
        <w:rPr>
          <w:color w:val="auto"/>
          <w:sz w:val="22"/>
          <w:szCs w:val="22"/>
        </w:rPr>
        <w:t xml:space="preserve">netu, </w:t>
      </w:r>
    </w:p>
    <w:p w14:paraId="01A03E7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14:paraId="7B8A359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14:paraId="00380A6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14:paraId="00F3D72E" w14:textId="77777777"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14:paraId="2592B750" w14:textId="77777777"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14:paraId="088F3160" w14:textId="77777777"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14:paraId="7865D63C"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14:paraId="75D8BBFF" w14:textId="77777777"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14:paraId="16B11DC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14:paraId="23CF08D2"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14:paraId="5892315C"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utrzymanie sprzętu w okresie realizacji projektu,</w:t>
      </w:r>
    </w:p>
    <w:p w14:paraId="7B7C84CA"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w:t>
      </w:r>
      <w:proofErr w:type="spellStart"/>
      <w:r w:rsidRPr="00FC425B">
        <w:rPr>
          <w:color w:val="auto"/>
          <w:sz w:val="22"/>
          <w:szCs w:val="22"/>
        </w:rPr>
        <w:t>maintenance</w:t>
      </w:r>
      <w:proofErr w:type="spellEnd"/>
      <w:r w:rsidRPr="00FC425B">
        <w:rPr>
          <w:color w:val="auto"/>
          <w:sz w:val="22"/>
          <w:szCs w:val="22"/>
        </w:rPr>
        <w:t>) sprzętu do digitalizacji</w:t>
      </w:r>
      <w:r w:rsidR="008B6AB6">
        <w:rPr>
          <w:color w:val="auto"/>
          <w:sz w:val="22"/>
          <w:szCs w:val="22"/>
        </w:rPr>
        <w:t>,</w:t>
      </w:r>
    </w:p>
    <w:p w14:paraId="72FF2893"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14:paraId="41C47E85"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14:paraId="2A369C8B"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14:paraId="0C204D6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14:paraId="4E451D4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14:paraId="4C816950"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14:paraId="1BB1FC34"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14:paraId="16251E13"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14:paraId="28FF87C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14:paraId="6E09DFEC"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14:paraId="0BE044C4"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14:paraId="35BAD990"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14:paraId="5C39324B"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14:paraId="194B3DF1" w14:textId="77777777"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14:paraId="76940018"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14:paraId="26D485BE" w14:textId="77777777"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w:t>
      </w:r>
      <w:proofErr w:type="spellStart"/>
      <w:r w:rsidRPr="002D4A8A">
        <w:rPr>
          <w:rFonts w:ascii="Arial" w:hAnsi="Arial" w:cs="Arial"/>
        </w:rPr>
        <w:t>maintenance</w:t>
      </w:r>
      <w:proofErr w:type="spellEnd"/>
      <w:r w:rsidRPr="002D4A8A">
        <w:rPr>
          <w:rFonts w:ascii="Arial" w:hAnsi="Arial" w:cs="Arial"/>
        </w:rPr>
        <w:t>) oprogramowania,</w:t>
      </w:r>
    </w:p>
    <w:p w14:paraId="421B8897" w14:textId="77777777"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w:t>
      </w:r>
      <w:proofErr w:type="spellStart"/>
      <w:r w:rsidRPr="006854B8">
        <w:rPr>
          <w:color w:val="auto"/>
          <w:sz w:val="22"/>
          <w:szCs w:val="22"/>
        </w:rPr>
        <w:t>maintenance</w:t>
      </w:r>
      <w:proofErr w:type="spellEnd"/>
      <w:r w:rsidRPr="006854B8">
        <w:rPr>
          <w:color w:val="auto"/>
          <w:sz w:val="22"/>
          <w:szCs w:val="22"/>
        </w:rPr>
        <w:t>) sprzętu informatycznego (konserwacja),</w:t>
      </w:r>
    </w:p>
    <w:p w14:paraId="3553D608" w14:textId="77777777"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lastRenderedPageBreak/>
        <w:t>wydatki na obsługę i serwis wynajmowanego w ramach projektu sprzętu informatycznego,</w:t>
      </w:r>
    </w:p>
    <w:p w14:paraId="6C46CE31" w14:textId="77777777"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14:paraId="73610D1B"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14:paraId="6D40C6CF"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14:paraId="6917D2BB" w14:textId="77777777"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14:paraId="51FC408D" w14:textId="77777777"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14:paraId="55453B49"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14:paraId="5C00461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14:paraId="118DFA1D"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14:paraId="0EC0D386"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14:paraId="167F7CD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14:paraId="33E62B8A"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14:paraId="20210D46"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14:paraId="2F06FC7D" w14:textId="77777777"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14:paraId="3A111AE2"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14:paraId="3D4110EA" w14:textId="77777777"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14:paraId="0432BF6C" w14:textId="77777777"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w:t>
      </w:r>
      <w:proofErr w:type="spellStart"/>
      <w:r w:rsidRPr="004E5E1A">
        <w:rPr>
          <w:color w:val="auto"/>
          <w:sz w:val="22"/>
          <w:szCs w:val="22"/>
        </w:rPr>
        <w:t>pzp</w:t>
      </w:r>
      <w:proofErr w:type="spellEnd"/>
      <w:r w:rsidRPr="004E5E1A">
        <w:rPr>
          <w:color w:val="auto"/>
          <w:sz w:val="22"/>
          <w:szCs w:val="22"/>
        </w:rPr>
        <w:t xml:space="preserve">, usługi kopiowania dokumentów na potrzeby kontroli czy usługi doradcze z zakresu zarządzania projektem </w:t>
      </w:r>
      <w:r>
        <w:rPr>
          <w:color w:val="auto"/>
          <w:sz w:val="22"/>
          <w:szCs w:val="22"/>
        </w:rPr>
        <w:t>itp.</w:t>
      </w:r>
    </w:p>
    <w:p w14:paraId="29E6409E" w14:textId="77777777" w:rsidR="00903FFD" w:rsidRPr="00804B85" w:rsidRDefault="00903FFD" w:rsidP="008A69F7">
      <w:pPr>
        <w:pStyle w:val="Akapitzlist"/>
        <w:numPr>
          <w:ilvl w:val="1"/>
          <w:numId w:val="12"/>
        </w:numPr>
        <w:spacing w:after="0" w:line="360" w:lineRule="auto"/>
        <w:ind w:hanging="357"/>
        <w:jc w:val="both"/>
        <w:rPr>
          <w:rFonts w:ascii="Arial" w:hAnsi="Arial" w:cs="Arial"/>
        </w:rPr>
      </w:pPr>
      <w:r w:rsidRPr="00804B85">
        <w:rPr>
          <w:rFonts w:ascii="Arial" w:hAnsi="Arial" w:cs="Arial"/>
        </w:rPr>
        <w:t>Zakup nieruchomości</w:t>
      </w:r>
      <w:r w:rsidR="00F46CF9" w:rsidRPr="00804B85">
        <w:rPr>
          <w:rFonts w:ascii="Arial" w:hAnsi="Arial" w:cs="Arial"/>
        </w:rPr>
        <w:t>/gruntu</w:t>
      </w:r>
      <w:r w:rsidRPr="00804B85">
        <w:rPr>
          <w:rFonts w:ascii="Arial" w:hAnsi="Arial" w:cs="Arial"/>
        </w:rPr>
        <w:t xml:space="preserve"> </w:t>
      </w:r>
    </w:p>
    <w:p w14:paraId="0149B196" w14:textId="77777777"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14:paraId="032E8636"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lastRenderedPageBreak/>
        <w:t xml:space="preserve">zakup nieruchomości zabudowanej, </w:t>
      </w:r>
    </w:p>
    <w:p w14:paraId="2ADF7A5F"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14:paraId="5A6648B1"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14:paraId="20FF8602" w14:textId="77777777" w:rsidR="00903FFD" w:rsidRPr="007E469E" w:rsidRDefault="00903FFD" w:rsidP="00903FFD">
      <w:pPr>
        <w:pStyle w:val="Default"/>
        <w:spacing w:before="120" w:after="120" w:line="360" w:lineRule="auto"/>
        <w:ind w:left="708"/>
        <w:jc w:val="both"/>
        <w:rPr>
          <w:color w:val="auto"/>
          <w:sz w:val="22"/>
          <w:szCs w:val="22"/>
        </w:rPr>
      </w:pPr>
      <w:r w:rsidRPr="00804B85">
        <w:rPr>
          <w:color w:val="auto"/>
          <w:sz w:val="22"/>
          <w:szCs w:val="22"/>
        </w:rPr>
        <w:t>Powyższe wydatki nie mogą przekraczać 10% całkowitych wydatków kwalifikowalnych projektu.</w:t>
      </w:r>
    </w:p>
    <w:p w14:paraId="05C4B27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14:paraId="65FFAB30"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14:paraId="1C574B79"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14:paraId="5BF71E2C" w14:textId="77777777"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14:paraId="324D672F" w14:textId="77777777"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14:paraId="5E7C50D0" w14:textId="77777777"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14:paraId="62351420"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14:paraId="2952044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14:paraId="4A7B5D9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14:paraId="79C2CB2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14:paraId="40F8EB84"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14:paraId="286FF81A"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lastRenderedPageBreak/>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14:paraId="6A8DCC6B" w14:textId="77777777"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14:paraId="5CE80FF1" w14:textId="77777777"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14:paraId="4DB8800B" w14:textId="77777777"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14:paraId="3A150AA0" w14:textId="77777777"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5"/>
      </w:r>
      <w:r>
        <w:rPr>
          <w:color w:val="auto"/>
          <w:sz w:val="22"/>
          <w:szCs w:val="22"/>
        </w:rPr>
        <w:t xml:space="preserve">. </w:t>
      </w:r>
    </w:p>
    <w:p w14:paraId="544573CA" w14:textId="77777777"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14:paraId="0777FA28" w14:textId="32568A5A" w:rsidR="00903FFD" w:rsidRDefault="00903FFD" w:rsidP="00F46CF9">
      <w:pPr>
        <w:pStyle w:val="Default"/>
        <w:spacing w:line="360" w:lineRule="auto"/>
        <w:ind w:left="708"/>
        <w:jc w:val="both"/>
        <w:rPr>
          <w:color w:val="auto"/>
          <w:sz w:val="22"/>
          <w:szCs w:val="22"/>
        </w:rPr>
      </w:pPr>
      <w:r w:rsidRPr="00804B85">
        <w:rPr>
          <w:color w:val="auto"/>
          <w:sz w:val="22"/>
          <w:szCs w:val="22"/>
        </w:rPr>
        <w:t xml:space="preserve">Wydatki na informację i promocję nie mogą przekraczać 3% </w:t>
      </w:r>
      <w:r w:rsidR="00804B85">
        <w:rPr>
          <w:color w:val="auto"/>
          <w:sz w:val="22"/>
          <w:szCs w:val="22"/>
        </w:rPr>
        <w:t xml:space="preserve">planowanych </w:t>
      </w:r>
      <w:r w:rsidR="008E14C5" w:rsidRPr="00804B85">
        <w:rPr>
          <w:color w:val="auto"/>
          <w:sz w:val="22"/>
          <w:szCs w:val="22"/>
        </w:rPr>
        <w:t xml:space="preserve">wydatków </w:t>
      </w:r>
      <w:r w:rsidRPr="00804B85">
        <w:rPr>
          <w:color w:val="auto"/>
          <w:sz w:val="22"/>
          <w:szCs w:val="22"/>
        </w:rPr>
        <w:t>kwalifikowalnych projektu</w:t>
      </w:r>
      <w:r w:rsidR="00AB17BC" w:rsidRPr="00804B85">
        <w:rPr>
          <w:color w:val="auto"/>
          <w:sz w:val="22"/>
          <w:szCs w:val="22"/>
        </w:rPr>
        <w:t>,</w:t>
      </w:r>
      <w:r w:rsidR="00AB17BC">
        <w:rPr>
          <w:color w:val="auto"/>
          <w:sz w:val="22"/>
          <w:szCs w:val="22"/>
        </w:rPr>
        <w:t xml:space="preserve"> </w:t>
      </w:r>
      <w:r w:rsidR="00804B85">
        <w:rPr>
          <w:color w:val="auto"/>
          <w:sz w:val="22"/>
          <w:szCs w:val="22"/>
        </w:rPr>
        <w:t xml:space="preserve">o których mowa w punkcie 2 podrozdziału 6.2 </w:t>
      </w:r>
      <w:r w:rsidR="00804B85" w:rsidRPr="009D75BD">
        <w:rPr>
          <w:i/>
          <w:color w:val="auto"/>
          <w:sz w:val="22"/>
          <w:szCs w:val="22"/>
        </w:rPr>
        <w:t>Wytycznych</w:t>
      </w:r>
      <w:r w:rsidR="00804B85">
        <w:rPr>
          <w:color w:val="auto"/>
          <w:sz w:val="22"/>
          <w:szCs w:val="22"/>
        </w:rPr>
        <w:t xml:space="preserve">, </w:t>
      </w:r>
      <w:r w:rsidR="00AB17BC">
        <w:rPr>
          <w:color w:val="auto"/>
          <w:sz w:val="22"/>
          <w:szCs w:val="22"/>
        </w:rPr>
        <w:t xml:space="preserve">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14:paraId="20C487FB" w14:textId="77777777"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14:paraId="2EA16B8C" w14:textId="77777777"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14:paraId="01A798A7" w14:textId="77777777"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14:paraId="1597FA64" w14:textId="77777777"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14:paraId="026D78E5" w14:textId="77777777"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14:paraId="3CC38866" w14:textId="77777777"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xml:space="preserve">, obsługę w </w:t>
      </w:r>
      <w:r w:rsidR="00CF30FC">
        <w:rPr>
          <w:color w:val="auto"/>
          <w:sz w:val="22"/>
          <w:szCs w:val="22"/>
        </w:rPr>
        <w:lastRenderedPageBreak/>
        <w:t>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14:paraId="345490C7" w14:textId="77777777"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r w:rsidR="000C6D89">
        <w:rPr>
          <w:sz w:val="22"/>
          <w:szCs w:val="22"/>
        </w:rPr>
        <w:t>,</w:t>
      </w:r>
    </w:p>
    <w:p w14:paraId="2B4301AE" w14:textId="77777777" w:rsidR="00EF19AE" w:rsidRDefault="00AB17BC" w:rsidP="00AC3F48">
      <w:pPr>
        <w:pStyle w:val="Default"/>
        <w:spacing w:line="360" w:lineRule="auto"/>
        <w:ind w:left="709"/>
        <w:jc w:val="both"/>
        <w:rPr>
          <w:color w:val="auto"/>
          <w:sz w:val="22"/>
          <w:szCs w:val="22"/>
        </w:rPr>
      </w:pPr>
      <w:r w:rsidRPr="00804B85">
        <w:rPr>
          <w:color w:val="auto"/>
          <w:sz w:val="22"/>
          <w:szCs w:val="22"/>
        </w:rPr>
        <w:t xml:space="preserve">Powyższe </w:t>
      </w:r>
      <w:r w:rsidR="001008EC" w:rsidRPr="00804B85">
        <w:rPr>
          <w:color w:val="auto"/>
          <w:sz w:val="22"/>
          <w:szCs w:val="22"/>
        </w:rPr>
        <w:t xml:space="preserve">wydatki </w:t>
      </w:r>
      <w:r w:rsidR="00156EDF" w:rsidRPr="00804B85">
        <w:rPr>
          <w:color w:val="auto"/>
          <w:sz w:val="22"/>
          <w:szCs w:val="22"/>
        </w:rPr>
        <w:t xml:space="preserve">są kwalifikowalne w wysokości </w:t>
      </w:r>
      <w:r w:rsidRPr="00804B85">
        <w:rPr>
          <w:color w:val="auto"/>
          <w:sz w:val="22"/>
          <w:szCs w:val="22"/>
        </w:rPr>
        <w:t>nie przekr</w:t>
      </w:r>
      <w:r w:rsidR="00156EDF" w:rsidRPr="00804B85">
        <w:rPr>
          <w:color w:val="auto"/>
          <w:sz w:val="22"/>
          <w:szCs w:val="22"/>
        </w:rPr>
        <w:t xml:space="preserve">aczającej </w:t>
      </w:r>
      <w:r w:rsidRPr="00804B85">
        <w:rPr>
          <w:color w:val="auto"/>
          <w:sz w:val="22"/>
          <w:szCs w:val="22"/>
        </w:rPr>
        <w:t>1</w:t>
      </w:r>
      <w:r w:rsidR="00B000DD" w:rsidRPr="00804B85">
        <w:rPr>
          <w:color w:val="auto"/>
          <w:sz w:val="22"/>
          <w:szCs w:val="22"/>
        </w:rPr>
        <w:t>0</w:t>
      </w:r>
      <w:r w:rsidRPr="00804B85">
        <w:rPr>
          <w:color w:val="auto"/>
          <w:sz w:val="22"/>
          <w:szCs w:val="22"/>
        </w:rPr>
        <w:t xml:space="preserve">% całkowitych </w:t>
      </w:r>
      <w:r w:rsidR="001008EC" w:rsidRPr="00804B85">
        <w:rPr>
          <w:color w:val="auto"/>
          <w:sz w:val="22"/>
          <w:szCs w:val="22"/>
        </w:rPr>
        <w:t xml:space="preserve">wydatków </w:t>
      </w:r>
      <w:r w:rsidRPr="00804B85">
        <w:rPr>
          <w:color w:val="auto"/>
          <w:sz w:val="22"/>
          <w:szCs w:val="22"/>
        </w:rPr>
        <w:t>kwalifikowalnych projektu.</w:t>
      </w:r>
      <w:r w:rsidR="00EF19AE" w:rsidRPr="00804B85">
        <w:rPr>
          <w:color w:val="auto"/>
          <w:sz w:val="22"/>
          <w:szCs w:val="22"/>
        </w:rPr>
        <w:t xml:space="preserve"> </w:t>
      </w:r>
      <w:r w:rsidR="005142B5" w:rsidRPr="00804B85">
        <w:rPr>
          <w:color w:val="auto"/>
          <w:sz w:val="22"/>
          <w:szCs w:val="22"/>
        </w:rPr>
        <w:t>W przypadku zmiany wysokości kosztów kwalifikowanych w projekcie należy ponownie przeliczyć limit określony dla kosztów pośrednich.</w:t>
      </w:r>
    </w:p>
    <w:p w14:paraId="44A42C74" w14:textId="77777777" w:rsidR="00AB17BC" w:rsidRDefault="00EF19AE" w:rsidP="00AC3F48">
      <w:pPr>
        <w:pStyle w:val="Default"/>
        <w:spacing w:line="360" w:lineRule="auto"/>
        <w:ind w:left="709"/>
        <w:jc w:val="both"/>
        <w:rPr>
          <w:color w:val="auto"/>
          <w:sz w:val="22"/>
          <w:szCs w:val="22"/>
        </w:rPr>
      </w:pPr>
      <w:r w:rsidRPr="00804B85">
        <w:rPr>
          <w:color w:val="auto"/>
          <w:sz w:val="22"/>
          <w:szCs w:val="22"/>
        </w:rPr>
        <w:t>Dla projektów wybranych do dofinansowania w ramach naboru dla działania 2.1 nr POPC.02.01.00-IP.01-00-001/15</w:t>
      </w:r>
      <w:r w:rsidR="00186EAB" w:rsidRPr="00804B85">
        <w:rPr>
          <w:color w:val="auto"/>
          <w:sz w:val="22"/>
          <w:szCs w:val="22"/>
        </w:rPr>
        <w:t>,</w:t>
      </w:r>
      <w:r w:rsidR="004C2887" w:rsidRPr="00804B85">
        <w:rPr>
          <w:color w:val="auto"/>
          <w:sz w:val="22"/>
          <w:szCs w:val="22"/>
        </w:rPr>
        <w:t xml:space="preserve"> </w:t>
      </w:r>
      <w:r w:rsidRPr="00804B85">
        <w:rPr>
          <w:color w:val="auto"/>
          <w:sz w:val="22"/>
          <w:szCs w:val="22"/>
        </w:rPr>
        <w:t xml:space="preserve">powyższe wydatki są kwalifikowalne do wysokości nieprzekraczającej 25% całkowitych </w:t>
      </w:r>
      <w:r w:rsidR="00E035C0" w:rsidRPr="00804B85">
        <w:rPr>
          <w:color w:val="auto"/>
          <w:sz w:val="22"/>
          <w:szCs w:val="22"/>
        </w:rPr>
        <w:t xml:space="preserve">i </w:t>
      </w:r>
      <w:r w:rsidRPr="00804B85">
        <w:rPr>
          <w:color w:val="auto"/>
          <w:sz w:val="22"/>
          <w:szCs w:val="22"/>
        </w:rPr>
        <w:t>bezpośrednich wydatków kwalifikowalnych projektu.</w:t>
      </w:r>
      <w:r w:rsidRPr="00EF19AE">
        <w:rPr>
          <w:color w:val="auto"/>
          <w:sz w:val="22"/>
          <w:szCs w:val="22"/>
        </w:rPr>
        <w:t xml:space="preserve"> </w:t>
      </w:r>
    </w:p>
    <w:p w14:paraId="694A397A" w14:textId="77777777"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14:paraId="5F8BE744" w14:textId="77777777"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14:paraId="153415C4" w14:textId="77777777"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14:paraId="0A33AF90" w14:textId="77777777" w:rsidR="00E14E6F" w:rsidRDefault="00E14E6F" w:rsidP="00AC3F48">
      <w:pPr>
        <w:pStyle w:val="Default"/>
        <w:spacing w:line="360" w:lineRule="auto"/>
        <w:ind w:left="709"/>
        <w:jc w:val="both"/>
        <w:rPr>
          <w:color w:val="auto"/>
          <w:sz w:val="22"/>
          <w:szCs w:val="22"/>
        </w:rPr>
      </w:pPr>
      <w:r w:rsidRPr="00804B85">
        <w:rPr>
          <w:color w:val="auto"/>
          <w:sz w:val="22"/>
          <w:szCs w:val="22"/>
        </w:rPr>
        <w:t>Koszty pośrednie w projektach pozakonkursowych są kwalifikowalne w wysokości nie przekraczającej 15% całkowitych wydatków kwalifikowalnych projektu.</w:t>
      </w:r>
    </w:p>
    <w:p w14:paraId="7BE2D2FE" w14:textId="77777777" w:rsidR="00E14E6F" w:rsidRDefault="00E14E6F" w:rsidP="00AC3F48">
      <w:pPr>
        <w:pStyle w:val="Default"/>
        <w:spacing w:line="360" w:lineRule="auto"/>
        <w:ind w:left="709"/>
        <w:jc w:val="both"/>
        <w:rPr>
          <w:color w:val="auto"/>
          <w:sz w:val="22"/>
          <w:szCs w:val="22"/>
        </w:rPr>
      </w:pPr>
    </w:p>
    <w:p w14:paraId="47C55681"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14:paraId="789472FE" w14:textId="77777777"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14:paraId="720C7C32" w14:textId="77777777"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 xml:space="preserve">Sytuacja, w której beneficjent jako wkład własny wnosi do projektu wkład niepieniężny, który w ciągu 7 poprzednich lat (dla nieruchomości 10 lat) był </w:t>
      </w:r>
      <w:r w:rsidRPr="00146543">
        <w:rPr>
          <w:color w:val="auto"/>
          <w:sz w:val="22"/>
          <w:szCs w:val="22"/>
        </w:rPr>
        <w:lastRenderedPageBreak/>
        <w:t>współfinansowany ze środków unijnych lub dotacji z krajowych środków publicznych, stanowi podwójne finansowanie i jest niedozwolona.</w:t>
      </w:r>
    </w:p>
    <w:p w14:paraId="6405892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14:paraId="436C0BF7" w14:textId="77777777" w:rsidR="00903FFD" w:rsidRPr="007E469E" w:rsidRDefault="00903FFD" w:rsidP="00903FFD">
      <w:pPr>
        <w:pStyle w:val="Default"/>
        <w:spacing w:before="120" w:after="120" w:line="360" w:lineRule="auto"/>
        <w:ind w:left="708"/>
        <w:jc w:val="both"/>
        <w:rPr>
          <w:color w:val="auto"/>
          <w:sz w:val="22"/>
          <w:szCs w:val="22"/>
        </w:rPr>
      </w:pPr>
      <w:r w:rsidRPr="00804B85">
        <w:rPr>
          <w:color w:val="auto"/>
          <w:sz w:val="22"/>
          <w:szCs w:val="22"/>
        </w:rPr>
        <w:t xml:space="preserve">Możliwe jest uwzględnienie w budżecie projektu rezerwy na nieprzewidziane wydatki w </w:t>
      </w:r>
      <w:r w:rsidRPr="00804B85">
        <w:rPr>
          <w:b/>
          <w:color w:val="auto"/>
          <w:sz w:val="22"/>
          <w:szCs w:val="22"/>
        </w:rPr>
        <w:t>części inwestycyjnej projektu</w:t>
      </w:r>
      <w:r w:rsidRPr="00804B85">
        <w:rPr>
          <w:color w:val="auto"/>
          <w:sz w:val="22"/>
          <w:szCs w:val="22"/>
        </w:rPr>
        <w:t xml:space="preserve">, pod warunkiem, że wartość tej rezerwy nie przekracza 10% </w:t>
      </w:r>
      <w:r w:rsidR="00D94F26" w:rsidRPr="00804B85">
        <w:rPr>
          <w:color w:val="auto"/>
          <w:sz w:val="22"/>
          <w:szCs w:val="22"/>
        </w:rPr>
        <w:t>wydatków kwalifikowalnych kategorii</w:t>
      </w:r>
      <w:r w:rsidR="00D94F26">
        <w:rPr>
          <w:color w:val="auto"/>
          <w:sz w:val="22"/>
          <w:szCs w:val="22"/>
        </w:rPr>
        <w:t xml:space="preserve">,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w:t>
      </w:r>
      <w:proofErr w:type="spellStart"/>
      <w:r w:rsidR="005C46A3" w:rsidRPr="005C46A3">
        <w:rPr>
          <w:color w:val="auto"/>
          <w:sz w:val="22"/>
          <w:szCs w:val="22"/>
        </w:rPr>
        <w:t>niekwalifikowalnością</w:t>
      </w:r>
      <w:proofErr w:type="spellEnd"/>
      <w:r w:rsidR="005C46A3" w:rsidRPr="005C46A3">
        <w:rPr>
          <w:color w:val="auto"/>
          <w:sz w:val="22"/>
          <w:szCs w:val="22"/>
        </w:rPr>
        <w:t xml:space="preserve"> przeznaczonych na nią wydatków. </w:t>
      </w:r>
      <w:r w:rsidRPr="007E469E">
        <w:rPr>
          <w:color w:val="auto"/>
          <w:sz w:val="22"/>
          <w:szCs w:val="22"/>
        </w:rPr>
        <w:t>Rezerwa ta może być wykorzystana na działania wynikające z powyższej analizy ryzyka, a w szczególności na:</w:t>
      </w:r>
    </w:p>
    <w:p w14:paraId="2313D84D"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14:paraId="4B5DC615"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14:paraId="6784F1BD" w14:textId="77777777"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14:paraId="723ABEE4"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429043907"/>
      <w:bookmarkStart w:id="83" w:name="_Toc10542531"/>
      <w:bookmarkEnd w:id="82"/>
      <w:r w:rsidRPr="008D3EC8">
        <w:rPr>
          <w:rFonts w:ascii="Arial" w:hAnsi="Arial" w:cs="Arial"/>
          <w:b w:val="0"/>
          <w:i/>
          <w:color w:val="auto"/>
          <w:sz w:val="24"/>
          <w:szCs w:val="24"/>
        </w:rPr>
        <w:t>Dodatkowe wydatki kwalifikowalne w ramach działania 2.2</w:t>
      </w:r>
      <w:bookmarkEnd w:id="83"/>
      <w:r w:rsidRPr="008D3EC8">
        <w:rPr>
          <w:rFonts w:ascii="Arial" w:hAnsi="Arial" w:cs="Arial"/>
          <w:b w:val="0"/>
          <w:i/>
          <w:color w:val="auto"/>
          <w:sz w:val="24"/>
          <w:szCs w:val="24"/>
        </w:rPr>
        <w:t xml:space="preserve"> </w:t>
      </w:r>
    </w:p>
    <w:p w14:paraId="52BA2BDC"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4B317AA7" w14:textId="77777777"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14:paraId="443B2971" w14:textId="0ED3794E" w:rsidR="00A7373A" w:rsidRPr="00103D76" w:rsidRDefault="00A7373A" w:rsidP="00103D76">
      <w:pPr>
        <w:pStyle w:val="Default"/>
        <w:spacing w:before="120" w:after="120" w:line="360" w:lineRule="auto"/>
        <w:ind w:left="708"/>
        <w:jc w:val="both"/>
        <w:rPr>
          <w:color w:val="auto"/>
          <w:sz w:val="22"/>
          <w:szCs w:val="22"/>
        </w:rPr>
      </w:pPr>
      <w:r w:rsidRPr="00804B85">
        <w:rPr>
          <w:color w:val="auto"/>
          <w:sz w:val="22"/>
          <w:szCs w:val="22"/>
        </w:rPr>
        <w:t xml:space="preserve">Wydatki na zakup sprzętu informatycznego oraz uzupełnienie wyposażenia teleinformatycznego nie mogą przekroczyć 30% </w:t>
      </w:r>
      <w:r w:rsidR="00804B85">
        <w:rPr>
          <w:color w:val="auto"/>
          <w:sz w:val="22"/>
          <w:szCs w:val="22"/>
        </w:rPr>
        <w:t xml:space="preserve">planowanych </w:t>
      </w:r>
      <w:r w:rsidRPr="00804B85">
        <w:rPr>
          <w:color w:val="auto"/>
          <w:sz w:val="22"/>
          <w:szCs w:val="22"/>
        </w:rPr>
        <w:t xml:space="preserve">kwalifikowalnych </w:t>
      </w:r>
      <w:r w:rsidR="008E14C5" w:rsidRPr="00804B85">
        <w:rPr>
          <w:color w:val="auto"/>
          <w:sz w:val="22"/>
          <w:szCs w:val="22"/>
        </w:rPr>
        <w:t>wydatków</w:t>
      </w:r>
      <w:r w:rsidRPr="00804B85">
        <w:rPr>
          <w:color w:val="auto"/>
          <w:sz w:val="22"/>
          <w:szCs w:val="22"/>
        </w:rPr>
        <w:t xml:space="preserve"> projektu</w:t>
      </w:r>
      <w:r w:rsidR="00804B85">
        <w:rPr>
          <w:color w:val="auto"/>
          <w:sz w:val="22"/>
          <w:szCs w:val="22"/>
        </w:rPr>
        <w:t>,</w:t>
      </w:r>
      <w:r w:rsidR="00804B85" w:rsidRPr="00804B85">
        <w:t xml:space="preserve"> </w:t>
      </w:r>
      <w:r w:rsidR="00804B85" w:rsidRPr="00804B85">
        <w:rPr>
          <w:color w:val="auto"/>
          <w:sz w:val="22"/>
          <w:szCs w:val="22"/>
        </w:rPr>
        <w:t xml:space="preserve">o których mowa w punkcie 2 podrozdziału 6.2 </w:t>
      </w:r>
      <w:r w:rsidR="00804B85" w:rsidRPr="009D75BD">
        <w:rPr>
          <w:i/>
          <w:color w:val="auto"/>
          <w:sz w:val="22"/>
          <w:szCs w:val="22"/>
        </w:rPr>
        <w:t>Wytycznych</w:t>
      </w:r>
      <w:r w:rsidRPr="00103D76">
        <w:rPr>
          <w:color w:val="auto"/>
          <w:sz w:val="22"/>
          <w:szCs w:val="22"/>
        </w:rPr>
        <w:t>.</w:t>
      </w:r>
    </w:p>
    <w:p w14:paraId="2CB1A68C" w14:textId="77777777"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14:paraId="364F222D" w14:textId="77777777"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14:paraId="14DEDF9C" w14:textId="77777777"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lastRenderedPageBreak/>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14:paraId="45350D2F" w14:textId="77777777"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14:paraId="1F478FAE"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14:paraId="175FC441"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14:paraId="4FF8B460"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14:paraId="132C9AA6" w14:textId="77777777"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14:paraId="313588A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14:paraId="6DC75669"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4" w:name="_Toc10542532"/>
      <w:r w:rsidRPr="008D3EC8">
        <w:rPr>
          <w:rFonts w:ascii="Arial" w:hAnsi="Arial" w:cs="Arial"/>
          <w:b w:val="0"/>
          <w:i/>
          <w:color w:val="auto"/>
          <w:sz w:val="24"/>
          <w:szCs w:val="24"/>
        </w:rPr>
        <w:t>Dodatkowe wydatki kwalifikowalne w ramach działania 2.3</w:t>
      </w:r>
      <w:bookmarkEnd w:id="84"/>
      <w:r w:rsidRPr="008D3EC8">
        <w:rPr>
          <w:rFonts w:ascii="Arial" w:hAnsi="Arial" w:cs="Arial"/>
          <w:b w:val="0"/>
          <w:i/>
          <w:color w:val="auto"/>
          <w:sz w:val="24"/>
          <w:szCs w:val="24"/>
        </w:rPr>
        <w:t xml:space="preserve"> </w:t>
      </w:r>
    </w:p>
    <w:p w14:paraId="134AF6C1"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3DE90049" w14:textId="77777777"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14:paraId="2EBCD6DF" w14:textId="77777777"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14:paraId="1D8C0780" w14:textId="77777777"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14:paraId="20086EDA" w14:textId="77777777"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14:paraId="7E916141" w14:textId="77777777"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proofErr w:type="spellStart"/>
      <w:r w:rsidR="00E035C0">
        <w:rPr>
          <w:rFonts w:ascii="Arial" w:eastAsia="Calibri" w:hAnsi="Arial" w:cs="Arial"/>
        </w:rPr>
        <w:t>odwzorowań</w:t>
      </w:r>
      <w:proofErr w:type="spellEnd"/>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14:paraId="2A4D066E"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14:paraId="67FC81B3"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14:paraId="5D08A4C4" w14:textId="77777777"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14:paraId="2FA5CCE5" w14:textId="77777777"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14:paraId="06B230EE" w14:textId="77777777"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lastRenderedPageBreak/>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14:paraId="7D0BD5BA" w14:textId="77777777"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14:paraId="4A133469" w14:textId="77777777"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14:paraId="5DCE7317" w14:textId="77777777"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14:paraId="5422161E" w14:textId="77777777"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14:paraId="3AB751CB" w14:textId="61E163F9" w:rsidR="00E20860" w:rsidRPr="00103D76" w:rsidRDefault="00E20860" w:rsidP="00103D76">
      <w:pPr>
        <w:pStyle w:val="Default"/>
        <w:spacing w:before="120" w:after="120" w:line="360" w:lineRule="auto"/>
        <w:ind w:left="708"/>
        <w:jc w:val="both"/>
        <w:rPr>
          <w:color w:val="auto"/>
          <w:sz w:val="22"/>
          <w:szCs w:val="22"/>
        </w:rPr>
      </w:pPr>
      <w:r w:rsidRPr="00804B85">
        <w:rPr>
          <w:color w:val="auto"/>
          <w:sz w:val="22"/>
          <w:szCs w:val="22"/>
        </w:rPr>
        <w:t xml:space="preserve">Wydatki na roboty budowlane nie mogą przekraczać 10% </w:t>
      </w:r>
      <w:r w:rsidR="00804B85">
        <w:rPr>
          <w:color w:val="auto"/>
          <w:sz w:val="22"/>
          <w:szCs w:val="22"/>
        </w:rPr>
        <w:t>planowanych</w:t>
      </w:r>
      <w:r w:rsidR="00804B85" w:rsidRPr="00804B85">
        <w:rPr>
          <w:color w:val="auto"/>
          <w:sz w:val="22"/>
          <w:szCs w:val="22"/>
        </w:rPr>
        <w:t xml:space="preserve"> </w:t>
      </w:r>
      <w:r w:rsidR="008E14C5" w:rsidRPr="00804B85">
        <w:rPr>
          <w:color w:val="auto"/>
          <w:sz w:val="22"/>
          <w:szCs w:val="22"/>
        </w:rPr>
        <w:t>wydatków</w:t>
      </w:r>
      <w:r w:rsidRPr="00804B85">
        <w:rPr>
          <w:color w:val="auto"/>
          <w:sz w:val="22"/>
          <w:szCs w:val="22"/>
        </w:rPr>
        <w:t xml:space="preserve"> kwalifikowalnych projektu</w:t>
      </w:r>
      <w:r w:rsidR="00804B85">
        <w:rPr>
          <w:color w:val="auto"/>
          <w:sz w:val="22"/>
          <w:szCs w:val="22"/>
        </w:rPr>
        <w:t>,</w:t>
      </w:r>
      <w:r w:rsidR="00804B85" w:rsidRPr="00804B85">
        <w:t xml:space="preserve"> </w:t>
      </w:r>
      <w:r w:rsidR="00804B85" w:rsidRPr="00804B85">
        <w:rPr>
          <w:color w:val="auto"/>
          <w:sz w:val="22"/>
          <w:szCs w:val="22"/>
        </w:rPr>
        <w:t xml:space="preserve">o których mowa w punkcie 2 podrozdziału 6.2 </w:t>
      </w:r>
      <w:r w:rsidR="00804B85" w:rsidRPr="009D75BD">
        <w:rPr>
          <w:i/>
          <w:color w:val="auto"/>
          <w:sz w:val="22"/>
          <w:szCs w:val="22"/>
        </w:rPr>
        <w:t>Wytycznych</w:t>
      </w:r>
      <w:r w:rsidR="00AC3F48" w:rsidRPr="00804B85">
        <w:rPr>
          <w:color w:val="auto"/>
          <w:sz w:val="22"/>
          <w:szCs w:val="22"/>
        </w:rPr>
        <w:t>.</w:t>
      </w:r>
    </w:p>
    <w:p w14:paraId="25C9AADF" w14:textId="77777777"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D032C2">
        <w:rPr>
          <w:rFonts w:ascii="Arial" w:eastAsia="Calibri" w:hAnsi="Arial" w:cs="Arial"/>
          <w:i/>
        </w:rPr>
        <w:t>i</w:t>
      </w:r>
      <w:r w:rsidR="00E20860" w:rsidRPr="00D032C2">
        <w:rPr>
          <w:rFonts w:ascii="Arial" w:eastAsia="Calibri" w:hAnsi="Arial" w:cs="Arial"/>
          <w:i/>
        </w:rPr>
        <w:t>nformacja i promocja</w:t>
      </w:r>
      <w:r w:rsidR="002D057E" w:rsidRPr="00D032C2">
        <w:rPr>
          <w:rFonts w:ascii="Arial" w:eastAsia="Calibri" w:hAnsi="Arial" w:cs="Arial"/>
          <w:i/>
        </w:rPr>
        <w:t>:</w:t>
      </w:r>
    </w:p>
    <w:p w14:paraId="44ACE37C" w14:textId="1EC541F8"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w:t>
      </w:r>
      <w:r w:rsidRPr="00D032C2">
        <w:rPr>
          <w:color w:val="auto"/>
          <w:sz w:val="22"/>
          <w:szCs w:val="22"/>
        </w:rPr>
        <w:t xml:space="preserve">10% </w:t>
      </w:r>
      <w:r w:rsidR="00D032C2">
        <w:rPr>
          <w:color w:val="auto"/>
          <w:sz w:val="22"/>
          <w:szCs w:val="22"/>
        </w:rPr>
        <w:t>planowanych</w:t>
      </w:r>
      <w:r w:rsidR="00D032C2" w:rsidRPr="00D032C2">
        <w:rPr>
          <w:color w:val="auto"/>
          <w:sz w:val="22"/>
          <w:szCs w:val="22"/>
        </w:rPr>
        <w:t xml:space="preserve"> </w:t>
      </w:r>
      <w:r w:rsidR="008E14C5" w:rsidRPr="00D032C2">
        <w:rPr>
          <w:color w:val="auto"/>
          <w:sz w:val="22"/>
          <w:szCs w:val="22"/>
        </w:rPr>
        <w:t xml:space="preserve">wydatków </w:t>
      </w:r>
      <w:r w:rsidRPr="00D032C2">
        <w:rPr>
          <w:color w:val="auto"/>
          <w:sz w:val="22"/>
          <w:szCs w:val="22"/>
        </w:rPr>
        <w:t>kwalifikowalnych projektu</w:t>
      </w:r>
      <w:r w:rsidR="00D032C2">
        <w:rPr>
          <w:color w:val="auto"/>
          <w:sz w:val="22"/>
          <w:szCs w:val="22"/>
        </w:rPr>
        <w:t>,</w:t>
      </w:r>
      <w:r w:rsidR="00D032C2" w:rsidRPr="00D032C2">
        <w:t xml:space="preserve"> </w:t>
      </w:r>
      <w:r w:rsidR="00D032C2" w:rsidRPr="00D032C2">
        <w:rPr>
          <w:color w:val="auto"/>
          <w:sz w:val="22"/>
          <w:szCs w:val="22"/>
        </w:rPr>
        <w:t xml:space="preserve">o których mowa w punkcie 2 podrozdziału 6.2 </w:t>
      </w:r>
      <w:r w:rsidR="00D032C2" w:rsidRPr="009D75BD">
        <w:rPr>
          <w:i/>
          <w:color w:val="auto"/>
          <w:sz w:val="22"/>
          <w:szCs w:val="22"/>
        </w:rPr>
        <w:t>Wytycznych</w:t>
      </w:r>
      <w:r w:rsidRPr="00D032C2">
        <w:rPr>
          <w:color w:val="auto"/>
          <w:sz w:val="22"/>
          <w:szCs w:val="22"/>
        </w:rPr>
        <w:t>.</w:t>
      </w:r>
    </w:p>
    <w:p w14:paraId="379FE7E9" w14:textId="77777777"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14:paraId="0C90A3A6" w14:textId="77777777"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14:paraId="23E2CE27" w14:textId="77777777" w:rsidR="00FB0AA0" w:rsidRDefault="00FB0AA0" w:rsidP="00FB0AA0">
      <w:pPr>
        <w:pStyle w:val="Nagwek3"/>
        <w:spacing w:before="240" w:after="60" w:line="360" w:lineRule="auto"/>
        <w:ind w:left="1430"/>
        <w:rPr>
          <w:rFonts w:ascii="Arial" w:hAnsi="Arial" w:cs="Arial"/>
          <w:b w:val="0"/>
          <w:i/>
          <w:color w:val="auto"/>
          <w:sz w:val="24"/>
          <w:szCs w:val="24"/>
        </w:rPr>
      </w:pPr>
    </w:p>
    <w:p w14:paraId="4F0B8682" w14:textId="77777777" w:rsidR="00796060" w:rsidRPr="008D3EC8" w:rsidRDefault="00796060" w:rsidP="00FB0AA0">
      <w:pPr>
        <w:pStyle w:val="Nagwek3"/>
        <w:numPr>
          <w:ilvl w:val="2"/>
          <w:numId w:val="1"/>
        </w:numPr>
        <w:spacing w:before="240" w:after="60" w:line="360" w:lineRule="auto"/>
        <w:jc w:val="center"/>
        <w:rPr>
          <w:rFonts w:ascii="Arial" w:hAnsi="Arial" w:cs="Arial"/>
          <w:b w:val="0"/>
          <w:i/>
          <w:color w:val="auto"/>
          <w:sz w:val="24"/>
          <w:szCs w:val="24"/>
        </w:rPr>
      </w:pPr>
      <w:bookmarkStart w:id="85" w:name="_Toc10542533"/>
      <w:r>
        <w:rPr>
          <w:rFonts w:ascii="Arial" w:hAnsi="Arial" w:cs="Arial"/>
          <w:b w:val="0"/>
          <w:i/>
          <w:color w:val="auto"/>
          <w:sz w:val="24"/>
          <w:szCs w:val="24"/>
        </w:rPr>
        <w:t>W</w:t>
      </w:r>
      <w:r w:rsidRPr="008D3EC8">
        <w:rPr>
          <w:rFonts w:ascii="Arial" w:hAnsi="Arial" w:cs="Arial"/>
          <w:b w:val="0"/>
          <w:i/>
          <w:color w:val="auto"/>
          <w:sz w:val="24"/>
          <w:szCs w:val="24"/>
        </w:rPr>
        <w:t xml:space="preserve">ydatki kwalifikowalne w </w:t>
      </w:r>
      <w:r w:rsidR="00FB0AA0">
        <w:rPr>
          <w:rFonts w:ascii="Arial" w:hAnsi="Arial" w:cs="Arial"/>
          <w:b w:val="0"/>
          <w:i/>
          <w:color w:val="auto"/>
          <w:sz w:val="24"/>
          <w:szCs w:val="24"/>
        </w:rPr>
        <w:t xml:space="preserve">projektach </w:t>
      </w:r>
      <w:r w:rsidR="00FB0AA0" w:rsidRPr="00FB0AA0">
        <w:rPr>
          <w:rFonts w:ascii="Arial" w:hAnsi="Arial" w:cs="Arial"/>
          <w:b w:val="0"/>
          <w:i/>
          <w:color w:val="auto"/>
          <w:sz w:val="24"/>
          <w:szCs w:val="24"/>
        </w:rPr>
        <w:t>realizowanych w działaniu 2.1 w ramach „uproszczonej procedury”</w:t>
      </w:r>
      <w:bookmarkEnd w:id="85"/>
      <w:r w:rsidRPr="008D3EC8">
        <w:rPr>
          <w:rFonts w:ascii="Arial" w:hAnsi="Arial" w:cs="Arial"/>
          <w:b w:val="0"/>
          <w:i/>
          <w:color w:val="auto"/>
          <w:sz w:val="24"/>
          <w:szCs w:val="24"/>
        </w:rPr>
        <w:t xml:space="preserve"> </w:t>
      </w:r>
    </w:p>
    <w:p w14:paraId="083408F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Wydatki wymienione w </w:t>
      </w:r>
      <w:r w:rsidR="00FB0AA0">
        <w:rPr>
          <w:color w:val="auto"/>
          <w:sz w:val="22"/>
          <w:szCs w:val="22"/>
        </w:rPr>
        <w:t xml:space="preserve">poniższej sekcji </w:t>
      </w:r>
      <w:r w:rsidRPr="00985C06">
        <w:rPr>
          <w:color w:val="auto"/>
          <w:sz w:val="22"/>
          <w:szCs w:val="22"/>
        </w:rPr>
        <w:t xml:space="preserve">uznaje się za kwalifikowalne, o ile poniesione zostały w okresie od 1 stycznia 2014 r. do 31 grudnia 2023 r., chyba że umowa o dofinansowanie projektu stanowi inaczej. </w:t>
      </w:r>
    </w:p>
    <w:p w14:paraId="4F498AA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1)</w:t>
      </w:r>
      <w:r w:rsidRPr="00985C06">
        <w:rPr>
          <w:color w:val="auto"/>
          <w:sz w:val="22"/>
          <w:szCs w:val="22"/>
        </w:rPr>
        <w:tab/>
        <w:t>Za kwalifikowalne uznaje się następujące wydatki w ramach poniższych kategorii i podkategorii:</w:t>
      </w:r>
    </w:p>
    <w:p w14:paraId="53582F95"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a)</w:t>
      </w:r>
      <w:r w:rsidRPr="00FB0AA0">
        <w:rPr>
          <w:b/>
          <w:color w:val="auto"/>
          <w:sz w:val="22"/>
          <w:szCs w:val="22"/>
        </w:rPr>
        <w:tab/>
        <w:t>Środki trwałe i wartości niematerialne i prawne</w:t>
      </w:r>
    </w:p>
    <w:p w14:paraId="792652F3"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i)</w:t>
      </w:r>
      <w:r w:rsidRPr="00FB0AA0">
        <w:rPr>
          <w:b/>
          <w:color w:val="auto"/>
          <w:sz w:val="22"/>
          <w:szCs w:val="22"/>
        </w:rPr>
        <w:tab/>
        <w:t xml:space="preserve">Oprogramowanie  </w:t>
      </w:r>
    </w:p>
    <w:p w14:paraId="4E491CB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lastRenderedPageBreak/>
        <w:t>-</w:t>
      </w:r>
      <w:r w:rsidRPr="00985C06">
        <w:rPr>
          <w:color w:val="auto"/>
          <w:sz w:val="22"/>
          <w:szCs w:val="22"/>
        </w:rPr>
        <w:tab/>
        <w:t>wydatki na pokrycie kosztów stworzenia, zakupu, leasingu, dzierżawy i najmu oprogramowania, wydatki na wdrożenie oprogramowania,</w:t>
      </w:r>
    </w:p>
    <w:p w14:paraId="65DFED80"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rozbudowę i aktualizację istniejącego oprogramowania,</w:t>
      </w:r>
    </w:p>
    <w:p w14:paraId="5AA730D9"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prac instalacyjnych, konfiguracyjnych i optymalizacyjnych,</w:t>
      </w:r>
    </w:p>
    <w:p w14:paraId="5B09DD8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domen (platform) i portali,</w:t>
      </w:r>
    </w:p>
    <w:p w14:paraId="2483948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przygotowania zawartości portali, w tym wydatki na rozbudowę portali,</w:t>
      </w:r>
    </w:p>
    <w:p w14:paraId="66E6B44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budowę lub rozbudowę zabezpieczeń logicznych (firewall, systemy IDS, IPS),</w:t>
      </w:r>
    </w:p>
    <w:p w14:paraId="3B9EAD1C"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wydatki na zakup narzędzi warstwy programowej niezbędnych dla zapewnienia bezpieczeństwa przesyłanych informacji oraz identyfikacji (np. elektronicznego poświadczania tożsamości), </w:t>
      </w:r>
    </w:p>
    <w:p w14:paraId="5163D02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amortyzacja wartości niematerialnych z zachowaniem zasad ogólnych dotyczących amortyzacji danego rodzaju wartości niematerialnych w zakresie i w czasie, w jakim są one wykorzystywane do realizacji projektu.</w:t>
      </w:r>
    </w:p>
    <w:p w14:paraId="7D3659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Przy zakupie, modernizacji, aktualizacji bądź stworzeniu oprogramowania kwalifikowalne są wydatki  zakupu, rozszerzenia i aktualizacji licencji lub przejęcia autorskich praw majątkowych. </w:t>
      </w:r>
    </w:p>
    <w:p w14:paraId="291C95A0"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b)</w:t>
      </w:r>
      <w:r w:rsidRPr="0065554C">
        <w:rPr>
          <w:b/>
          <w:color w:val="auto"/>
          <w:sz w:val="22"/>
          <w:szCs w:val="22"/>
        </w:rPr>
        <w:tab/>
        <w:t>Usługi zewnętrzne</w:t>
      </w:r>
    </w:p>
    <w:p w14:paraId="48A4F45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 xml:space="preserve">Przygotowanie projektu </w:t>
      </w:r>
    </w:p>
    <w:p w14:paraId="7B3F7A6F"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dokumentacja techniczna, finansowa o ile jej opracowanie jest niezbędne do przygotowania lub realizacji projektu, z wyjątkiem wypełnienia formularza wniosku o dofinansowanie. </w:t>
      </w:r>
    </w:p>
    <w:p w14:paraId="4D48EEA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studium wykonalności,</w:t>
      </w:r>
    </w:p>
    <w:p w14:paraId="01F97AE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dokumentacja przetargowa,</w:t>
      </w:r>
    </w:p>
    <w:p w14:paraId="5AEBD244"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uzyskanie niezbędnych decyzji administracyjnych na etapie przygotowania projektu czy wniosku o dofinansowanie,</w:t>
      </w:r>
    </w:p>
    <w:p w14:paraId="23EE745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obsługa instrumentów zabezpieczających realizację umowy o dofinansowanie, określona w umowie o dofinansowanie,</w:t>
      </w:r>
    </w:p>
    <w:p w14:paraId="0DF10A57"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ocena oddziaływania na środowisko,</w:t>
      </w:r>
    </w:p>
    <w:p w14:paraId="732666F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lastRenderedPageBreak/>
        <w:t>-</w:t>
      </w:r>
      <w:r w:rsidRPr="00985C06">
        <w:rPr>
          <w:color w:val="auto"/>
          <w:sz w:val="22"/>
          <w:szCs w:val="22"/>
        </w:rPr>
        <w:tab/>
        <w:t>mapy lub szkice sytuujące projekt</w:t>
      </w:r>
      <w:r>
        <w:rPr>
          <w:color w:val="auto"/>
          <w:sz w:val="22"/>
          <w:szCs w:val="22"/>
        </w:rPr>
        <w:t>.</w:t>
      </w:r>
    </w:p>
    <w:p w14:paraId="23484CB9"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Usługi informatyczne</w:t>
      </w:r>
    </w:p>
    <w:p w14:paraId="27B423F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opiekę serwisową posprzedażową (</w:t>
      </w:r>
      <w:proofErr w:type="spellStart"/>
      <w:r w:rsidRPr="00985C06">
        <w:rPr>
          <w:color w:val="auto"/>
          <w:sz w:val="22"/>
          <w:szCs w:val="22"/>
        </w:rPr>
        <w:t>maintenance</w:t>
      </w:r>
      <w:proofErr w:type="spellEnd"/>
      <w:r w:rsidRPr="00985C06">
        <w:rPr>
          <w:color w:val="auto"/>
          <w:sz w:val="22"/>
          <w:szCs w:val="22"/>
        </w:rPr>
        <w:t>) oprogramowania,</w:t>
      </w:r>
    </w:p>
    <w:p w14:paraId="503928D3" w14:textId="68CCA5D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utrzymania domen (platform) i portali,</w:t>
      </w:r>
    </w:p>
    <w:p w14:paraId="3BE008E2" w14:textId="77777777" w:rsidR="00985C06" w:rsidRDefault="00985C06" w:rsidP="00927CE9">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usług: zapewnienia dostępu do sieci Internet, hostingu, kolokacji i innych,</w:t>
      </w:r>
    </w:p>
    <w:p w14:paraId="1CC1A4F7" w14:textId="77777777" w:rsidR="00927CE9" w:rsidRPr="00985C06" w:rsidRDefault="00927CE9" w:rsidP="00927CE9">
      <w:pPr>
        <w:pStyle w:val="Default"/>
        <w:spacing w:before="120" w:after="120" w:line="360" w:lineRule="auto"/>
        <w:ind w:left="720"/>
        <w:jc w:val="both"/>
        <w:rPr>
          <w:color w:val="auto"/>
          <w:sz w:val="22"/>
          <w:szCs w:val="22"/>
        </w:rPr>
      </w:pPr>
      <w:r>
        <w:rPr>
          <w:color w:val="auto"/>
          <w:sz w:val="22"/>
          <w:szCs w:val="22"/>
        </w:rPr>
        <w:t>-</w:t>
      </w:r>
      <w:r w:rsidRPr="00927CE9">
        <w:rPr>
          <w:color w:val="auto"/>
          <w:sz w:val="22"/>
          <w:szCs w:val="22"/>
        </w:rPr>
        <w:tab/>
        <w:t>digitalizacja rejestrów i poprawa jakości danych, w tym czyszczenie danych oraz digitalizacja danych dostępnych w innych formach niż forma cyfrowa,</w:t>
      </w:r>
    </w:p>
    <w:p w14:paraId="4BE2498F" w14:textId="55CE989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usługi audytu zewnętrznego w zakresie oprogramowania oraz audyty dostępności treści pod katem zgodności z WCAG 2.0.</w:t>
      </w:r>
    </w:p>
    <w:p w14:paraId="432CC4C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 xml:space="preserve">Usługi wspomagające realizację projektu </w:t>
      </w:r>
    </w:p>
    <w:p w14:paraId="2785A0E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usługi doradcze w trakcie realizacji projektu, w tym zapewnienie wsparcia technicznego, </w:t>
      </w:r>
    </w:p>
    <w:p w14:paraId="4C7A372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ekspertyzy prawne, badania i analizy techniczne, finansowe, ekonomiczne oraz w zakresie wdrażania krajowych i międzynarodowych standardów,</w:t>
      </w:r>
    </w:p>
    <w:p w14:paraId="07A385D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prawne,</w:t>
      </w:r>
    </w:p>
    <w:p w14:paraId="2752C12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zarządcze,</w:t>
      </w:r>
    </w:p>
    <w:p w14:paraId="2CC7ED06"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tłumaczenia,</w:t>
      </w:r>
    </w:p>
    <w:p w14:paraId="0F420935" w14:textId="536D184D"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 </w:t>
      </w:r>
      <w:r>
        <w:rPr>
          <w:color w:val="auto"/>
          <w:sz w:val="22"/>
          <w:szCs w:val="22"/>
        </w:rPr>
        <w:t>-</w:t>
      </w:r>
      <w:r w:rsidRPr="00985C06">
        <w:rPr>
          <w:color w:val="auto"/>
          <w:sz w:val="22"/>
          <w:szCs w:val="22"/>
        </w:rPr>
        <w:tab/>
        <w:t xml:space="preserve">usługi audytu zewnętrznego , </w:t>
      </w:r>
    </w:p>
    <w:p w14:paraId="7367F318"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zakup ogłoszeń prasowych (nie dotyczących promocji), </w:t>
      </w:r>
    </w:p>
    <w:p w14:paraId="0BE0D41C" w14:textId="1F979705" w:rsidR="00985C06" w:rsidRPr="00985C06" w:rsidRDefault="008A640E" w:rsidP="00985C06">
      <w:pPr>
        <w:pStyle w:val="Default"/>
        <w:spacing w:before="120" w:after="120" w:line="360" w:lineRule="auto"/>
        <w:ind w:left="720"/>
        <w:jc w:val="both"/>
        <w:rPr>
          <w:color w:val="auto"/>
          <w:sz w:val="22"/>
          <w:szCs w:val="22"/>
        </w:rPr>
      </w:pPr>
      <w:r>
        <w:rPr>
          <w:color w:val="auto"/>
          <w:sz w:val="22"/>
          <w:szCs w:val="22"/>
        </w:rPr>
        <w:t xml:space="preserve">Każda z usług wymienionych w </w:t>
      </w:r>
      <w:proofErr w:type="spellStart"/>
      <w:r>
        <w:rPr>
          <w:color w:val="auto"/>
          <w:sz w:val="22"/>
          <w:szCs w:val="22"/>
        </w:rPr>
        <w:t>ppkt</w:t>
      </w:r>
      <w:proofErr w:type="spellEnd"/>
      <w:r>
        <w:rPr>
          <w:color w:val="auto"/>
          <w:sz w:val="22"/>
          <w:szCs w:val="22"/>
        </w:rPr>
        <w:t xml:space="preserve"> „iii” musi być bezpośrednio związana z głównymi celami i produktami projektu.  </w:t>
      </w:r>
    </w:p>
    <w:p w14:paraId="4B35ED8B"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c)</w:t>
      </w:r>
      <w:r w:rsidRPr="0065554C">
        <w:rPr>
          <w:b/>
          <w:color w:val="auto"/>
          <w:sz w:val="22"/>
          <w:szCs w:val="22"/>
        </w:rPr>
        <w:tab/>
        <w:t>Szkolenia</w:t>
      </w:r>
    </w:p>
    <w:p w14:paraId="6EE6D040"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szkolenia, seminaria i warsztaty dla pracowników instytucji korzystających z produktów projektu, w tym e-learning,</w:t>
      </w:r>
    </w:p>
    <w:p w14:paraId="27D01087"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d)</w:t>
      </w:r>
      <w:r w:rsidRPr="0065554C">
        <w:rPr>
          <w:b/>
          <w:color w:val="auto"/>
          <w:sz w:val="22"/>
          <w:szCs w:val="22"/>
        </w:rPr>
        <w:tab/>
        <w:t>Informacja i promocja, w tym wydatki:</w:t>
      </w:r>
    </w:p>
    <w:p w14:paraId="7416C67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poniesione na tablice informacyjne i pamiątkowe,</w:t>
      </w:r>
    </w:p>
    <w:p w14:paraId="28C8784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lastRenderedPageBreak/>
        <w:t>ii)</w:t>
      </w:r>
      <w:r w:rsidRPr="00985C06">
        <w:rPr>
          <w:color w:val="auto"/>
          <w:sz w:val="22"/>
          <w:szCs w:val="22"/>
        </w:rPr>
        <w:tab/>
        <w:t>związane ze stworzeniem i prowadzeniem strony internetowej projektu, profili na portalach społecznościowych, blogów i innych form wykorzystujących komunikację internetową,</w:t>
      </w:r>
    </w:p>
    <w:p w14:paraId="2DBB2C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poniesione w związku z organizacją konferencji promujących projekt,</w:t>
      </w:r>
    </w:p>
    <w:p w14:paraId="00AF11B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iv)</w:t>
      </w:r>
      <w:r w:rsidRPr="00985C06">
        <w:rPr>
          <w:color w:val="auto"/>
          <w:sz w:val="22"/>
          <w:szCs w:val="22"/>
        </w:rPr>
        <w:tab/>
        <w:t>poniesione w związku z realizacją działań informacyjno-promocyjnych, w tym m.in. kampanii, promocji w mediach elektronicznych i tradycyjnych,</w:t>
      </w:r>
    </w:p>
    <w:p w14:paraId="57468964"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w:t>
      </w:r>
      <w:r w:rsidRPr="00985C06">
        <w:rPr>
          <w:color w:val="auto"/>
          <w:sz w:val="22"/>
          <w:szCs w:val="22"/>
        </w:rPr>
        <w:tab/>
        <w:t>poniesione w związku z organizowaniem spotkań informacyjnych i wydarzeń promocyjnych (w tym wynajem sali, catering),</w:t>
      </w:r>
    </w:p>
    <w:p w14:paraId="4811B63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vi)</w:t>
      </w:r>
      <w:r w:rsidRPr="00985C06">
        <w:rPr>
          <w:color w:val="auto"/>
          <w:sz w:val="22"/>
          <w:szCs w:val="22"/>
        </w:rPr>
        <w:tab/>
        <w:t xml:space="preserve">poniesione na podstawowe materiały informacyjne i promocyjne . </w:t>
      </w:r>
    </w:p>
    <w:p w14:paraId="6A884F1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0A4E3F62" w14:textId="5221A4A9" w:rsidR="00985C06" w:rsidRPr="00985C06" w:rsidRDefault="00985C06" w:rsidP="00985C06">
      <w:pPr>
        <w:pStyle w:val="Default"/>
        <w:spacing w:before="120" w:after="120" w:line="360" w:lineRule="auto"/>
        <w:ind w:left="720"/>
        <w:jc w:val="both"/>
        <w:rPr>
          <w:color w:val="auto"/>
          <w:sz w:val="22"/>
          <w:szCs w:val="22"/>
        </w:rPr>
      </w:pPr>
      <w:r w:rsidRPr="00D032C2">
        <w:rPr>
          <w:color w:val="auto"/>
          <w:sz w:val="22"/>
          <w:szCs w:val="22"/>
        </w:rPr>
        <w:t xml:space="preserve">Wydatki na informację i promocję nie mogą przekraczać 3% </w:t>
      </w:r>
      <w:r w:rsidR="00D032C2">
        <w:rPr>
          <w:color w:val="auto"/>
          <w:sz w:val="22"/>
          <w:szCs w:val="22"/>
        </w:rPr>
        <w:t xml:space="preserve">planowanych </w:t>
      </w:r>
      <w:r w:rsidRPr="00D032C2">
        <w:rPr>
          <w:color w:val="auto"/>
          <w:sz w:val="22"/>
          <w:szCs w:val="22"/>
        </w:rPr>
        <w:t>wydatków kwalifikowalnych projektu</w:t>
      </w:r>
      <w:r w:rsidR="00D032C2">
        <w:rPr>
          <w:color w:val="auto"/>
          <w:sz w:val="22"/>
          <w:szCs w:val="22"/>
        </w:rPr>
        <w:t xml:space="preserve">, </w:t>
      </w:r>
      <w:r w:rsidR="00D032C2" w:rsidRPr="00D032C2">
        <w:rPr>
          <w:color w:val="auto"/>
          <w:sz w:val="22"/>
          <w:szCs w:val="22"/>
        </w:rPr>
        <w:t xml:space="preserve">o których mowa w punkcie 2 podrozdziału 6.2 </w:t>
      </w:r>
      <w:r w:rsidR="00D032C2" w:rsidRPr="00D032C2">
        <w:rPr>
          <w:i/>
          <w:color w:val="auto"/>
          <w:sz w:val="22"/>
          <w:szCs w:val="22"/>
        </w:rPr>
        <w:t>Wytycznych</w:t>
      </w:r>
      <w:r w:rsidR="000E40B6" w:rsidRPr="00D032C2">
        <w:rPr>
          <w:color w:val="auto"/>
          <w:sz w:val="22"/>
          <w:szCs w:val="22"/>
        </w:rPr>
        <w:t>.</w:t>
      </w:r>
      <w:r w:rsidRPr="00985C06">
        <w:rPr>
          <w:color w:val="auto"/>
          <w:sz w:val="22"/>
          <w:szCs w:val="22"/>
        </w:rPr>
        <w:t xml:space="preserve"> </w:t>
      </w:r>
    </w:p>
    <w:p w14:paraId="76E23DE8" w14:textId="77777777" w:rsidR="00985C06" w:rsidRDefault="00985C06" w:rsidP="00985C06">
      <w:pPr>
        <w:pStyle w:val="Default"/>
        <w:spacing w:before="120" w:after="120" w:line="360" w:lineRule="auto"/>
        <w:ind w:left="720"/>
        <w:jc w:val="both"/>
        <w:rPr>
          <w:color w:val="auto"/>
          <w:sz w:val="22"/>
          <w:szCs w:val="22"/>
        </w:rPr>
      </w:pPr>
      <w:r w:rsidRPr="00985C06">
        <w:rPr>
          <w:color w:val="auto"/>
          <w:sz w:val="22"/>
          <w:szCs w:val="22"/>
        </w:rPr>
        <w:t>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p w14:paraId="0752AA5E" w14:textId="77777777" w:rsidR="007B47A8" w:rsidRDefault="007B47A8" w:rsidP="00985C06">
      <w:pPr>
        <w:pStyle w:val="Default"/>
        <w:spacing w:before="120" w:after="120" w:line="360" w:lineRule="auto"/>
        <w:ind w:left="720"/>
        <w:jc w:val="both"/>
        <w:rPr>
          <w:color w:val="auto"/>
          <w:sz w:val="22"/>
          <w:szCs w:val="22"/>
        </w:rPr>
      </w:pPr>
    </w:p>
    <w:p w14:paraId="3A58F3C3" w14:textId="77777777"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6" w:name="_Toc512510849"/>
      <w:bookmarkStart w:id="87" w:name="_Toc10542534"/>
      <w:bookmarkEnd w:id="86"/>
      <w:r w:rsidRPr="007E469E">
        <w:rPr>
          <w:rFonts w:ascii="Arial" w:hAnsi="Arial" w:cs="Arial"/>
          <w:i/>
          <w:color w:val="auto"/>
          <w:sz w:val="24"/>
          <w:szCs w:val="24"/>
        </w:rPr>
        <w:t>C</w:t>
      </w:r>
      <w:r w:rsidR="00903FFD" w:rsidRPr="007E469E">
        <w:rPr>
          <w:rFonts w:ascii="Arial" w:hAnsi="Arial" w:cs="Arial"/>
          <w:i/>
          <w:color w:val="auto"/>
          <w:sz w:val="24"/>
          <w:szCs w:val="24"/>
        </w:rPr>
        <w:t>ross-financing</w:t>
      </w:r>
      <w:bookmarkEnd w:id="87"/>
    </w:p>
    <w:p w14:paraId="018C47B3"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Zasady i warunki finansowania wydatków w ramach cross-</w:t>
      </w:r>
      <w:proofErr w:type="spellStart"/>
      <w:r w:rsidRPr="00285F07">
        <w:rPr>
          <w:rFonts w:ascii="Arial" w:eastAsia="MS Mincho" w:hAnsi="Arial" w:cs="Arial"/>
          <w:lang w:eastAsia="ja-JP"/>
        </w:rPr>
        <w:t>financingu</w:t>
      </w:r>
      <w:proofErr w:type="spellEnd"/>
      <w:r w:rsidRPr="00285F07">
        <w:rPr>
          <w:rFonts w:ascii="Arial" w:eastAsia="MS Mincho" w:hAnsi="Arial" w:cs="Arial"/>
          <w:lang w:eastAsia="ja-JP"/>
        </w:rPr>
        <w:t xml:space="preserve">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14:paraId="7DA758EB"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może dotyczyć wyłącznie takich kategorii wydatków, których poniesienie wynika z potrzeby realizacji danej operacji w rozumieniu art. 2 pkt 9 rozporządzenia ogólnego i stanowi logiczne uzupełnienie zadań inwestycyjnych.</w:t>
      </w:r>
    </w:p>
    <w:p w14:paraId="180B26BC" w14:textId="2BD125E0"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D032C2">
        <w:rPr>
          <w:rFonts w:ascii="Arial" w:eastAsia="MS Mincho" w:hAnsi="Arial" w:cs="Arial"/>
          <w:lang w:eastAsia="ja-JP"/>
        </w:rPr>
        <w:t>Limit wydatków w ramach cross-</w:t>
      </w:r>
      <w:proofErr w:type="spellStart"/>
      <w:r w:rsidRPr="00D032C2">
        <w:rPr>
          <w:rFonts w:ascii="Arial" w:eastAsia="MS Mincho" w:hAnsi="Arial" w:cs="Arial"/>
          <w:lang w:eastAsia="ja-JP"/>
        </w:rPr>
        <w:t>financingu</w:t>
      </w:r>
      <w:proofErr w:type="spellEnd"/>
      <w:r w:rsidRPr="00D032C2">
        <w:rPr>
          <w:rFonts w:ascii="Arial" w:eastAsia="MS Mincho" w:hAnsi="Arial" w:cs="Arial"/>
          <w:lang w:eastAsia="ja-JP"/>
        </w:rPr>
        <w:t xml:space="preserve"> na poziomie projektu został określony w SZOOP POPC, zgodnie z którym wartość wydatków planowanych we wniosku o dofinansowanie projektu w ramach cross-</w:t>
      </w:r>
      <w:proofErr w:type="spellStart"/>
      <w:r w:rsidRPr="00D032C2">
        <w:rPr>
          <w:rFonts w:ascii="Arial" w:eastAsia="MS Mincho" w:hAnsi="Arial" w:cs="Arial"/>
          <w:lang w:eastAsia="ja-JP"/>
        </w:rPr>
        <w:t>financingu</w:t>
      </w:r>
      <w:proofErr w:type="spellEnd"/>
      <w:r w:rsidRPr="00D032C2">
        <w:rPr>
          <w:rFonts w:ascii="Arial" w:eastAsia="MS Mincho" w:hAnsi="Arial" w:cs="Arial"/>
          <w:lang w:eastAsia="ja-JP"/>
        </w:rPr>
        <w:t xml:space="preserve"> co do zasady nie może stanowić więcej niż 10%</w:t>
      </w:r>
      <w:r w:rsidRPr="00964FDE">
        <w:rPr>
          <w:rFonts w:ascii="Arial" w:eastAsia="MS Mincho" w:hAnsi="Arial" w:cs="Arial"/>
          <w:lang w:eastAsia="ja-JP"/>
        </w:rPr>
        <w:t xml:space="preserve"> </w:t>
      </w:r>
      <w:r w:rsidR="009D75BD">
        <w:rPr>
          <w:rFonts w:ascii="Arial" w:eastAsia="MS Mincho" w:hAnsi="Arial" w:cs="Arial"/>
          <w:lang w:eastAsia="ja-JP"/>
        </w:rPr>
        <w:t>planowanych</w:t>
      </w:r>
      <w:r w:rsidR="009D75BD" w:rsidRPr="00964FDE">
        <w:rPr>
          <w:rFonts w:ascii="Arial" w:eastAsia="MS Mincho" w:hAnsi="Arial" w:cs="Arial"/>
          <w:lang w:eastAsia="ja-JP"/>
        </w:rPr>
        <w:t xml:space="preserve"> </w:t>
      </w:r>
      <w:r w:rsidRPr="00964FDE">
        <w:rPr>
          <w:rFonts w:ascii="Arial" w:eastAsia="MS Mincho" w:hAnsi="Arial" w:cs="Arial"/>
          <w:lang w:eastAsia="ja-JP"/>
        </w:rPr>
        <w:t xml:space="preserve">wydatków kwalifikowalnych projektu. W indywidualnych, </w:t>
      </w:r>
      <w:r w:rsidRPr="00964FDE">
        <w:rPr>
          <w:rFonts w:ascii="Arial" w:eastAsia="MS Mincho" w:hAnsi="Arial" w:cs="Arial"/>
          <w:lang w:eastAsia="ja-JP"/>
        </w:rPr>
        <w:lastRenderedPageBreak/>
        <w:t>szczególnie uzasadnionych przypadkach, IP POPC może wyrazić zgodę na zwiększenie limitu dotyczącego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w ramach wydatków kwalifikowalnych na poziomie projektu</w:t>
      </w:r>
      <w:r w:rsidR="009D75BD">
        <w:rPr>
          <w:rFonts w:ascii="Arial" w:eastAsia="MS Mincho" w:hAnsi="Arial" w:cs="Arial"/>
          <w:lang w:eastAsia="ja-JP"/>
        </w:rPr>
        <w:t>.</w:t>
      </w:r>
    </w:p>
    <w:p w14:paraId="7ED9C6F2" w14:textId="77777777"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W przypadku przekroczenia ustalonego dla danego projektu przez IP POPC limitu wydatków ponoszonych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wydatki przekraczające limit uznaje się za niekwalifikowalne na etapie końcowego rozliczenia projektu.</w:t>
      </w:r>
    </w:p>
    <w:p w14:paraId="03B22B27" w14:textId="77777777"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14:paraId="652E26BF" w14:textId="77777777"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t>wynajem sali wraz z niezbędnym do przeprowadzenia szkolenia sprzętem multimedialnym,</w:t>
      </w:r>
    </w:p>
    <w:p w14:paraId="36915457"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14:paraId="005D571D" w14:textId="77777777"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14:paraId="17E3AE48" w14:textId="77777777"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14:paraId="14A1C339"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14:paraId="1CCB12FE" w14:textId="77777777"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14:paraId="35A46988" w14:textId="77777777"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14:paraId="7F71487D" w14:textId="77777777" w:rsidR="00E06C27" w:rsidRPr="007E469E" w:rsidRDefault="00E06C27" w:rsidP="00285F07">
      <w:pPr>
        <w:pStyle w:val="Akapitzlist"/>
        <w:spacing w:after="0" w:line="360" w:lineRule="auto"/>
        <w:jc w:val="both"/>
        <w:rPr>
          <w:rFonts w:ascii="Arial" w:hAnsi="Arial" w:cs="Arial"/>
        </w:rPr>
      </w:pPr>
    </w:p>
    <w:p w14:paraId="37F6EB8E" w14:textId="77777777"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8" w:name="_Toc10542535"/>
      <w:r w:rsidRPr="007E469E">
        <w:rPr>
          <w:rFonts w:ascii="Arial" w:hAnsi="Arial" w:cs="Arial"/>
          <w:i/>
          <w:color w:val="auto"/>
          <w:sz w:val="24"/>
          <w:szCs w:val="24"/>
        </w:rPr>
        <w:t>Wykaz wydatków niekwalifikowalnych w ramach II osi priorytetowej</w:t>
      </w:r>
      <w:bookmarkEnd w:id="88"/>
      <w:r w:rsidRPr="007E469E">
        <w:rPr>
          <w:rFonts w:ascii="Arial" w:hAnsi="Arial" w:cs="Arial"/>
          <w:i/>
          <w:color w:val="auto"/>
          <w:sz w:val="24"/>
          <w:szCs w:val="24"/>
        </w:rPr>
        <w:t xml:space="preserve"> </w:t>
      </w:r>
    </w:p>
    <w:p w14:paraId="16B78214"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14:paraId="1905E46D"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14:paraId="1218F50E" w14:textId="77777777"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14:paraId="627DCA30" w14:textId="77777777"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14:paraId="0EC284CF" w14:textId="77777777"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14:paraId="576DA5DB" w14:textId="22ECF625"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E241C6">
        <w:rPr>
          <w:rFonts w:ascii="Arial" w:eastAsia="MS Mincho" w:hAnsi="Arial" w:cs="Arial"/>
          <w:lang w:eastAsia="ja-JP"/>
        </w:rPr>
        <w:t xml:space="preserve">. </w:t>
      </w:r>
    </w:p>
    <w:p w14:paraId="2480A64A" w14:textId="77777777"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lastRenderedPageBreak/>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14:paraId="767835A7" w14:textId="77777777"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14:paraId="7CAF4086" w14:textId="77777777"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14:paraId="6A4B546E"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14:paraId="66F2F49F"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14:paraId="119F70D9" w14:textId="77777777"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14:paraId="2CB8FCB1" w14:textId="77777777"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na rzecz wykupu praw autorskich do </w:t>
      </w:r>
      <w:proofErr w:type="spellStart"/>
      <w:r w:rsidRPr="00285F07">
        <w:rPr>
          <w:rFonts w:ascii="Arial" w:eastAsia="Calibri" w:hAnsi="Arial" w:cs="Arial"/>
        </w:rPr>
        <w:t>digitalizowanych</w:t>
      </w:r>
      <w:proofErr w:type="spellEnd"/>
      <w:r w:rsidRPr="00285F07">
        <w:rPr>
          <w:rFonts w:ascii="Arial" w:eastAsia="Calibri" w:hAnsi="Arial" w:cs="Arial"/>
        </w:rPr>
        <w:t>/udostępnianych zasobów.</w:t>
      </w:r>
    </w:p>
    <w:p w14:paraId="2209EB36" w14:textId="77777777" w:rsidR="00B052AB" w:rsidRDefault="00B052AB">
      <w:pPr>
        <w:rPr>
          <w:rFonts w:ascii="Arial" w:eastAsia="MS Mincho" w:hAnsi="Arial" w:cs="Arial"/>
          <w:lang w:eastAsia="ja-JP"/>
        </w:rPr>
      </w:pPr>
    </w:p>
    <w:p w14:paraId="71914CA2" w14:textId="77777777" w:rsidR="00B052AB" w:rsidRDefault="00B052AB">
      <w:pPr>
        <w:rPr>
          <w:rFonts w:ascii="Arial" w:eastAsia="MS Mincho" w:hAnsi="Arial" w:cs="Arial"/>
          <w:lang w:eastAsia="ja-JP"/>
        </w:rPr>
      </w:pPr>
    </w:p>
    <w:p w14:paraId="53D6FE89" w14:textId="2289B370" w:rsidR="00B052AB" w:rsidRPr="00EB2C27" w:rsidRDefault="00944E2A" w:rsidP="00A805FF">
      <w:pPr>
        <w:pStyle w:val="Nagwek2"/>
        <w:numPr>
          <w:ilvl w:val="1"/>
          <w:numId w:val="1"/>
        </w:numPr>
        <w:spacing w:before="240" w:after="60" w:line="360" w:lineRule="auto"/>
        <w:jc w:val="center"/>
        <w:rPr>
          <w:rFonts w:ascii="Arial" w:hAnsi="Arial" w:cs="Arial"/>
          <w:i/>
          <w:color w:val="auto"/>
          <w:sz w:val="24"/>
          <w:szCs w:val="24"/>
        </w:rPr>
      </w:pPr>
      <w:bookmarkStart w:id="89" w:name="_Toc10542536"/>
      <w:bookmarkStart w:id="90" w:name="_Toc10542537"/>
      <w:bookmarkStart w:id="91" w:name="_Toc10542538"/>
      <w:bookmarkStart w:id="92" w:name="_Toc10542539"/>
      <w:bookmarkEnd w:id="89"/>
      <w:bookmarkEnd w:id="90"/>
      <w:bookmarkEnd w:id="91"/>
      <w:bookmarkEnd w:id="92"/>
      <w:r>
        <w:rPr>
          <w:rFonts w:ascii="Arial" w:hAnsi="Arial" w:cs="Arial"/>
        </w:rPr>
        <w:br w:type="page"/>
      </w:r>
      <w:bookmarkStart w:id="93" w:name="_Toc10542540"/>
      <w:r w:rsidR="00B052AB" w:rsidRPr="00EB2C27">
        <w:rPr>
          <w:rFonts w:ascii="Arial" w:hAnsi="Arial" w:cs="Arial"/>
          <w:i/>
          <w:color w:val="auto"/>
          <w:sz w:val="24"/>
          <w:szCs w:val="24"/>
        </w:rPr>
        <w:lastRenderedPageBreak/>
        <w:t>Wydatki kwalifikowalne w projektach realizowanych w działaniu 2.4 „Tworzenie usług i aplikacji wykorzystujących e-usługi publiczne i informacje sektora publicznego”</w:t>
      </w:r>
      <w:bookmarkEnd w:id="93"/>
    </w:p>
    <w:p w14:paraId="79EFB731" w14:textId="6EEC4E3E"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Wydatki wymienione w poniższej sekcji </w:t>
      </w:r>
      <w:r w:rsidR="00E22E9B">
        <w:rPr>
          <w:rFonts w:ascii="Arial" w:hAnsi="Arial" w:cs="Arial"/>
        </w:rPr>
        <w:t xml:space="preserve">stanowią zamknięty katalog wydatków możliwych do poniesienia w ramach działania 2.4, </w:t>
      </w:r>
      <w:r w:rsidRPr="00B052AB">
        <w:rPr>
          <w:rFonts w:ascii="Arial" w:hAnsi="Arial" w:cs="Arial"/>
        </w:rPr>
        <w:t xml:space="preserve">uznaje się </w:t>
      </w:r>
      <w:r w:rsidR="00F726BE">
        <w:rPr>
          <w:rFonts w:ascii="Arial" w:hAnsi="Arial" w:cs="Arial"/>
        </w:rPr>
        <w:t xml:space="preserve">je </w:t>
      </w:r>
      <w:r w:rsidRPr="00B052AB">
        <w:rPr>
          <w:rFonts w:ascii="Arial" w:hAnsi="Arial" w:cs="Arial"/>
        </w:rPr>
        <w:t xml:space="preserve">za kwalifikowalne, o ile poniesione zostały w okresie od 1 stycznia 2014 r. do 31 grudnia 2023 r., chyba że umowa o dofinansowanie projektu stanowi inaczej. </w:t>
      </w:r>
    </w:p>
    <w:p w14:paraId="7C53C271" w14:textId="77777777" w:rsidR="00B052AB" w:rsidRPr="00B052AB" w:rsidRDefault="00B052AB" w:rsidP="00B052AB">
      <w:pPr>
        <w:numPr>
          <w:ilvl w:val="0"/>
          <w:numId w:val="156"/>
        </w:numPr>
        <w:autoSpaceDE w:val="0"/>
        <w:autoSpaceDN w:val="0"/>
        <w:adjustRightInd w:val="0"/>
        <w:spacing w:before="120" w:after="120" w:line="360" w:lineRule="auto"/>
        <w:jc w:val="both"/>
        <w:rPr>
          <w:rFonts w:ascii="Arial" w:hAnsi="Arial" w:cs="Arial"/>
        </w:rPr>
      </w:pPr>
      <w:r w:rsidRPr="00B052AB">
        <w:rPr>
          <w:rFonts w:ascii="Arial" w:hAnsi="Arial" w:cs="Arial"/>
        </w:rPr>
        <w:t>Za kwalifikowalne uznaje się następujące wydatki w ramach poniższych kategorii i podkategorii:</w:t>
      </w:r>
    </w:p>
    <w:p w14:paraId="5DFD19A7" w14:textId="4FD27DC7" w:rsidR="0097284C" w:rsidRPr="0097284C" w:rsidRDefault="0097284C" w:rsidP="00B052AB">
      <w:pPr>
        <w:numPr>
          <w:ilvl w:val="1"/>
          <w:numId w:val="50"/>
        </w:numPr>
        <w:autoSpaceDE w:val="0"/>
        <w:autoSpaceDN w:val="0"/>
        <w:adjustRightInd w:val="0"/>
        <w:spacing w:before="120" w:after="120" w:line="360" w:lineRule="auto"/>
        <w:jc w:val="both"/>
        <w:rPr>
          <w:rFonts w:ascii="Arial" w:hAnsi="Arial" w:cs="Arial"/>
        </w:rPr>
      </w:pPr>
      <w:r w:rsidRPr="00A805FF">
        <w:rPr>
          <w:rFonts w:ascii="Arial" w:hAnsi="Arial" w:cs="Arial"/>
          <w:b/>
        </w:rPr>
        <w:t>Środki trwałe i wartości niematerialne i prawne</w:t>
      </w:r>
    </w:p>
    <w:p w14:paraId="34575BC4" w14:textId="77A836D8" w:rsidR="00B052AB" w:rsidRPr="00A805FF" w:rsidRDefault="00B052AB" w:rsidP="00A805FF">
      <w:pPr>
        <w:pStyle w:val="Akapitzlist"/>
        <w:numPr>
          <w:ilvl w:val="2"/>
          <w:numId w:val="50"/>
        </w:numPr>
        <w:autoSpaceDE w:val="0"/>
        <w:autoSpaceDN w:val="0"/>
        <w:adjustRightInd w:val="0"/>
        <w:spacing w:before="120" w:after="120" w:line="360" w:lineRule="auto"/>
        <w:jc w:val="both"/>
        <w:rPr>
          <w:rFonts w:ascii="Arial" w:hAnsi="Arial" w:cs="Arial"/>
          <w:b/>
        </w:rPr>
      </w:pPr>
      <w:r w:rsidRPr="00A805FF">
        <w:rPr>
          <w:rFonts w:ascii="Arial" w:hAnsi="Arial" w:cs="Arial"/>
          <w:b/>
        </w:rPr>
        <w:t>Oprogramowanie</w:t>
      </w:r>
    </w:p>
    <w:p w14:paraId="16684BA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 wydatki na pokrycie kosztów stworzenia, zakupu, leasingu, dzierżawy i najmu oprogramowania, wydatki na wdrożenie oprogramowania,</w:t>
      </w:r>
    </w:p>
    <w:p w14:paraId="3A2A9976"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rozbudowę i aktualizację istniejącego oprogramowania,</w:t>
      </w:r>
    </w:p>
    <w:p w14:paraId="0F4E174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prac instalacyjnych, konfiguracyjnych i optymalizacyjnych,</w:t>
      </w:r>
    </w:p>
    <w:p w14:paraId="41DF458C" w14:textId="77777777" w:rsidR="00B052AB" w:rsidRPr="00A805FF" w:rsidRDefault="00B052AB" w:rsidP="00B052AB">
      <w:pPr>
        <w:numPr>
          <w:ilvl w:val="0"/>
          <w:numId w:val="27"/>
        </w:numPr>
        <w:autoSpaceDE w:val="0"/>
        <w:autoSpaceDN w:val="0"/>
        <w:adjustRightInd w:val="0"/>
        <w:spacing w:before="120" w:after="120" w:line="360" w:lineRule="auto"/>
        <w:jc w:val="both"/>
        <w:rPr>
          <w:rFonts w:ascii="Arial" w:hAnsi="Arial" w:cs="Arial"/>
        </w:rPr>
      </w:pPr>
      <w:r w:rsidRPr="00A805FF">
        <w:rPr>
          <w:rFonts w:ascii="Arial" w:hAnsi="Arial" w:cs="Arial"/>
        </w:rPr>
        <w:t>wydatki na pokrycie kosztów przygotowania zawartości portali, w tym wydatki na rozbudowę portali,</w:t>
      </w:r>
    </w:p>
    <w:p w14:paraId="2D7BEE64" w14:textId="77777777" w:rsidR="00B052AB" w:rsidRPr="00A805FF" w:rsidRDefault="00B052AB" w:rsidP="00B052AB">
      <w:pPr>
        <w:numPr>
          <w:ilvl w:val="0"/>
          <w:numId w:val="27"/>
        </w:numPr>
        <w:autoSpaceDE w:val="0"/>
        <w:autoSpaceDN w:val="0"/>
        <w:adjustRightInd w:val="0"/>
        <w:spacing w:before="120" w:after="120" w:line="360" w:lineRule="auto"/>
        <w:jc w:val="both"/>
        <w:rPr>
          <w:rFonts w:ascii="Arial" w:hAnsi="Arial" w:cs="Arial"/>
        </w:rPr>
      </w:pPr>
      <w:r w:rsidRPr="00A805FF">
        <w:rPr>
          <w:rFonts w:ascii="Arial" w:hAnsi="Arial" w:cs="Arial"/>
        </w:rPr>
        <w:t>wydatki na budowę lub rozbudowę zabezpieczeń logicznych (firewall, systemy IDS, IPS),</w:t>
      </w:r>
    </w:p>
    <w:p w14:paraId="067546B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wydatki na zakup narzędzi warstwy programowej niezbędnych dla zapewnienia bezpieczeństwa przesyłanych informacji oraz identyfikacji (np. elektronicznego poświadczania tożsamości), </w:t>
      </w:r>
    </w:p>
    <w:p w14:paraId="5C2608BB"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amortyzacja wartości niematerialnych z zachowaniem zasad ogólnych dotyczących amortyzacji danego rodzaju wartości niematerialnych w zakresie i w czasie, w jakim są one wykorzystywane do realizacji projektu.</w:t>
      </w:r>
    </w:p>
    <w:p w14:paraId="3A29E79E"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Przy zakupie, modernizacji, aktualizacji bądź stworzeniu oprogramowania kwalifikowalne są wydatki  zakupu, rozszerzenia i aktualizacji licencji lub przejęcia autorskich praw majątkowych. </w:t>
      </w:r>
    </w:p>
    <w:p w14:paraId="74A771A3"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Usługi zewnętrzne</w:t>
      </w:r>
    </w:p>
    <w:p w14:paraId="56BF60DE" w14:textId="77777777" w:rsidR="00B052AB" w:rsidRPr="00B052AB" w:rsidRDefault="00B052AB" w:rsidP="00B052AB">
      <w:pPr>
        <w:numPr>
          <w:ilvl w:val="2"/>
          <w:numId w:val="50"/>
        </w:numPr>
        <w:autoSpaceDE w:val="0"/>
        <w:autoSpaceDN w:val="0"/>
        <w:adjustRightInd w:val="0"/>
        <w:spacing w:before="120" w:after="120" w:line="360" w:lineRule="auto"/>
        <w:jc w:val="both"/>
        <w:rPr>
          <w:rFonts w:ascii="Arial" w:hAnsi="Arial" w:cs="Arial"/>
        </w:rPr>
      </w:pPr>
      <w:r w:rsidRPr="00B052AB">
        <w:rPr>
          <w:rFonts w:ascii="Arial" w:hAnsi="Arial" w:cs="Arial"/>
        </w:rPr>
        <w:t>Usługi informatyczne</w:t>
      </w:r>
    </w:p>
    <w:p w14:paraId="06F3F8CC" w14:textId="77777777" w:rsidR="00B052AB" w:rsidRPr="00B052AB" w:rsidRDefault="00B052AB" w:rsidP="00B052AB">
      <w:pPr>
        <w:numPr>
          <w:ilvl w:val="0"/>
          <w:numId w:val="27"/>
        </w:numPr>
        <w:contextualSpacing/>
        <w:rPr>
          <w:rFonts w:ascii="Arial" w:hAnsi="Arial" w:cs="Arial"/>
        </w:rPr>
      </w:pPr>
      <w:r w:rsidRPr="00B052AB">
        <w:rPr>
          <w:rFonts w:ascii="Arial" w:hAnsi="Arial" w:cs="Arial"/>
        </w:rPr>
        <w:lastRenderedPageBreak/>
        <w:t>wydatki na opiekę serwisową posprzedażową (</w:t>
      </w:r>
      <w:proofErr w:type="spellStart"/>
      <w:r w:rsidRPr="00B052AB">
        <w:rPr>
          <w:rFonts w:ascii="Arial" w:hAnsi="Arial" w:cs="Arial"/>
        </w:rPr>
        <w:t>maintenance</w:t>
      </w:r>
      <w:proofErr w:type="spellEnd"/>
      <w:r w:rsidRPr="00B052AB">
        <w:rPr>
          <w:rFonts w:ascii="Arial" w:hAnsi="Arial" w:cs="Arial"/>
        </w:rPr>
        <w:t>) oprogramowania,</w:t>
      </w:r>
    </w:p>
    <w:p w14:paraId="589C5CE9"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utrzymania domen (platform) i portali,</w:t>
      </w:r>
    </w:p>
    <w:p w14:paraId="01A53655"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usług: zapewnienia dostępu do sieci Internet, hostingu, kolokacji i innych,</w:t>
      </w:r>
    </w:p>
    <w:p w14:paraId="3A220CA2"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zakup usług przetwarzania w chmurze obliczeniowej typu IaaS, SaaS, PaaS,</w:t>
      </w:r>
    </w:p>
    <w:p w14:paraId="474B6DB5"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usługi audytu zewnętrznego w zakresie oprogramowania oraz audyty dostępności treści pod katem zgodności z WCAG 2.0.</w:t>
      </w:r>
    </w:p>
    <w:p w14:paraId="33BC894E" w14:textId="77777777" w:rsidR="00B052AB" w:rsidRPr="00B052AB" w:rsidRDefault="00B052AB" w:rsidP="00B052AB">
      <w:pPr>
        <w:numPr>
          <w:ilvl w:val="2"/>
          <w:numId w:val="50"/>
        </w:numPr>
        <w:spacing w:before="120" w:after="120" w:line="360" w:lineRule="auto"/>
        <w:contextualSpacing/>
        <w:jc w:val="both"/>
        <w:rPr>
          <w:rFonts w:ascii="Arial" w:eastAsia="Times New Roman" w:hAnsi="Arial" w:cs="Arial"/>
          <w:lang w:eastAsia="pl-PL"/>
        </w:rPr>
      </w:pPr>
      <w:r w:rsidRPr="00B052AB">
        <w:rPr>
          <w:rFonts w:ascii="Arial" w:eastAsia="Times New Roman" w:hAnsi="Arial" w:cs="Arial"/>
          <w:lang w:eastAsia="pl-PL"/>
        </w:rPr>
        <w:t xml:space="preserve">Usługi wspomagające realizację projektu </w:t>
      </w:r>
    </w:p>
    <w:p w14:paraId="62EC32ED"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doradcze w trakcie realizacji projektu, w tym zapewnienie wsparcia technicznego, </w:t>
      </w:r>
    </w:p>
    <w:p w14:paraId="1A6A93C7"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ekspertyzy prawne, badania i analizy techniczne, finansowe, ekonomiczne oraz w zakresie wdrażania krajowych i międzynarodowych standardów,</w:t>
      </w:r>
    </w:p>
    <w:p w14:paraId="05B3FF6E"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usługi prawne,</w:t>
      </w:r>
    </w:p>
    <w:p w14:paraId="685EE353"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tłumaczenia,</w:t>
      </w:r>
    </w:p>
    <w:p w14:paraId="1B43C5F0"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księgowe, </w:t>
      </w:r>
    </w:p>
    <w:p w14:paraId="120D596A"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audytu zewnętrznego , </w:t>
      </w:r>
    </w:p>
    <w:p w14:paraId="252BE717"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zakup ogłoszeń prasowych (nie dotyczących promocji), </w:t>
      </w:r>
    </w:p>
    <w:p w14:paraId="4982966B"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 przypadku, gdy dana usługa nie jest bezpośrednio związana z głównymi celami i produktami projektu wydatek powinien zostać wykazany w ramach kategorii </w:t>
      </w:r>
      <w:r w:rsidRPr="00B052AB">
        <w:rPr>
          <w:rFonts w:ascii="Arial" w:hAnsi="Arial" w:cs="Arial"/>
          <w:i/>
        </w:rPr>
        <w:t>Wydatki poniesione na pokrycie kosztów pośrednich</w:t>
      </w:r>
      <w:r w:rsidRPr="00B052AB">
        <w:rPr>
          <w:rFonts w:ascii="Arial" w:hAnsi="Arial" w:cs="Arial"/>
        </w:rPr>
        <w:t xml:space="preserve"> np. ogłoszenia w prasie dotyczące wyboru wykonawców, ekspertyzy i usługi prawne z zakresu </w:t>
      </w:r>
      <w:proofErr w:type="spellStart"/>
      <w:r w:rsidRPr="00B052AB">
        <w:rPr>
          <w:rFonts w:ascii="Arial" w:hAnsi="Arial" w:cs="Arial"/>
        </w:rPr>
        <w:t>pzp</w:t>
      </w:r>
      <w:proofErr w:type="spellEnd"/>
      <w:r w:rsidRPr="00B052AB">
        <w:rPr>
          <w:rFonts w:ascii="Arial" w:hAnsi="Arial" w:cs="Arial"/>
        </w:rPr>
        <w:t>, usługi kopiowania dokumentów na potrzeby kontroli czy usługi doradcze z zakresu zarządzania projektem itp.</w:t>
      </w:r>
    </w:p>
    <w:p w14:paraId="31D167FB"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Wynagrodzenia pracowników wykonujących merytoryczne zadania bezpośrednio związane z głównymi celami i produktami projektu.</w:t>
      </w:r>
    </w:p>
    <w:p w14:paraId="498ECB3F"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 ramach tej kategorii uwzględnia się także koszty wynagrodzeń koordynatora/kierownika projektu. </w:t>
      </w:r>
    </w:p>
    <w:p w14:paraId="0617F92C"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Informacja i promocja, w tym wydatki:</w:t>
      </w:r>
    </w:p>
    <w:p w14:paraId="60BEB2D2" w14:textId="77777777" w:rsidR="00B052AB" w:rsidRPr="00B052AB" w:rsidRDefault="00B052AB" w:rsidP="00B052AB">
      <w:pPr>
        <w:numPr>
          <w:ilvl w:val="0"/>
          <w:numId w:val="157"/>
        </w:numPr>
        <w:autoSpaceDE w:val="0"/>
        <w:autoSpaceDN w:val="0"/>
        <w:adjustRightInd w:val="0"/>
        <w:spacing w:after="0" w:line="360" w:lineRule="auto"/>
        <w:ind w:hanging="219"/>
        <w:jc w:val="both"/>
        <w:rPr>
          <w:rFonts w:ascii="Arial" w:hAnsi="Arial" w:cs="Arial"/>
        </w:rPr>
      </w:pPr>
      <w:r w:rsidRPr="00B052AB">
        <w:rPr>
          <w:rFonts w:ascii="Arial" w:hAnsi="Arial" w:cs="Arial"/>
        </w:rPr>
        <w:t>poniesione na tablice informacyjne i pamiątkowe,</w:t>
      </w:r>
    </w:p>
    <w:p w14:paraId="0EDF1814"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związane ze stworzeniem i prowadzeniem strony internetowej projektu, profili na portalach społecznościowych, blogów i innych form wykorzystujących komunikację internetową,</w:t>
      </w:r>
    </w:p>
    <w:p w14:paraId="1FAB7F6D"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poniesione w związku z organizacją konferencji promujących projekt,</w:t>
      </w:r>
    </w:p>
    <w:p w14:paraId="11442901"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color w:val="000000"/>
          <w:sz w:val="24"/>
          <w:szCs w:val="24"/>
        </w:rPr>
      </w:pPr>
      <w:r w:rsidRPr="00B052AB">
        <w:rPr>
          <w:rFonts w:ascii="Arial" w:hAnsi="Arial" w:cs="Arial"/>
        </w:rPr>
        <w:lastRenderedPageBreak/>
        <w:t>poniesione w związku z realizacją działań informacyjno-promocyjnych, w tym m.in. kampanii, promocji w mediach elektronicznych i tradycyjnych,</w:t>
      </w:r>
    </w:p>
    <w:p w14:paraId="7EE5CBDF"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poniesione w związku z organizowaniem spotkań informacyjnych i wydarzeń promocyjnych (w tym wynajem sali, catering),</w:t>
      </w:r>
    </w:p>
    <w:p w14:paraId="50CB3946"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 xml:space="preserve">poniesione na podstawowe materiały informacyjne i promocyjne. </w:t>
      </w:r>
    </w:p>
    <w:p w14:paraId="1F6117A9"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 xml:space="preserve">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sidRPr="00B052AB">
        <w:rPr>
          <w:rFonts w:ascii="Arial" w:hAnsi="Arial" w:cs="Arial"/>
        </w:rPr>
        <w:br/>
        <w:t>w komunikacji FE.</w:t>
      </w:r>
    </w:p>
    <w:p w14:paraId="6AD57114"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195FFF6F" w14:textId="50D55F30" w:rsidR="00B052AB" w:rsidRPr="00B052AB" w:rsidRDefault="00B052AB" w:rsidP="00B052AB">
      <w:pPr>
        <w:autoSpaceDE w:val="0"/>
        <w:autoSpaceDN w:val="0"/>
        <w:adjustRightInd w:val="0"/>
        <w:spacing w:after="0" w:line="360" w:lineRule="auto"/>
        <w:ind w:left="284"/>
        <w:jc w:val="both"/>
        <w:rPr>
          <w:rFonts w:ascii="Arial" w:hAnsi="Arial" w:cs="Arial"/>
        </w:rPr>
      </w:pPr>
      <w:r w:rsidRPr="00D032C2">
        <w:rPr>
          <w:rFonts w:ascii="Arial" w:hAnsi="Arial" w:cs="Arial"/>
        </w:rPr>
        <w:t>Wydatki na informację i promocję</w:t>
      </w:r>
      <w:r w:rsidRPr="00B052AB">
        <w:rPr>
          <w:rFonts w:ascii="Arial" w:hAnsi="Arial" w:cs="Arial"/>
        </w:rPr>
        <w:t xml:space="preserve"> nie mogą przekraczać </w:t>
      </w:r>
      <w:r w:rsidRPr="00D032C2">
        <w:rPr>
          <w:rFonts w:ascii="Arial" w:hAnsi="Arial" w:cs="Arial"/>
        </w:rPr>
        <w:t xml:space="preserve">15% </w:t>
      </w:r>
      <w:r w:rsidR="00D032C2">
        <w:rPr>
          <w:rFonts w:ascii="Arial" w:hAnsi="Arial" w:cs="Arial"/>
        </w:rPr>
        <w:t xml:space="preserve">planowanych </w:t>
      </w:r>
      <w:r w:rsidRPr="00D032C2">
        <w:rPr>
          <w:rFonts w:ascii="Arial" w:hAnsi="Arial" w:cs="Arial"/>
        </w:rPr>
        <w:t>wydatków kwalifikowalnych projektu</w:t>
      </w:r>
      <w:r w:rsidR="00D032C2">
        <w:rPr>
          <w:rFonts w:ascii="Arial" w:hAnsi="Arial" w:cs="Arial"/>
        </w:rPr>
        <w:t xml:space="preserve">, </w:t>
      </w:r>
      <w:r w:rsidR="00D032C2" w:rsidRPr="00D032C2">
        <w:rPr>
          <w:rFonts w:ascii="Arial" w:hAnsi="Arial" w:cs="Arial"/>
        </w:rPr>
        <w:t xml:space="preserve">o których mowa w punkcie 2 podrozdziału 6.2 </w:t>
      </w:r>
      <w:r w:rsidR="00D032C2" w:rsidRPr="009D75BD">
        <w:rPr>
          <w:rFonts w:ascii="Arial" w:hAnsi="Arial" w:cs="Arial"/>
          <w:i/>
        </w:rPr>
        <w:t>Wytycznych</w:t>
      </w:r>
      <w:r w:rsidRPr="00D032C2">
        <w:rPr>
          <w:rFonts w:ascii="Arial" w:hAnsi="Arial" w:cs="Arial"/>
        </w:rPr>
        <w:t>.</w:t>
      </w:r>
      <w:r w:rsidRPr="00B052AB">
        <w:rPr>
          <w:rFonts w:ascii="Arial" w:hAnsi="Arial" w:cs="Arial"/>
        </w:rPr>
        <w:t xml:space="preserve"> </w:t>
      </w:r>
    </w:p>
    <w:p w14:paraId="12D6FFD9"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Wydatki poniesione na pokrycie kosztów pośrednich</w:t>
      </w:r>
    </w:p>
    <w:p w14:paraId="5D21D5FD"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W ramach osi II wydatkami kwalifikowalnymi w zakresie tej kategorii mogą być:</w:t>
      </w:r>
    </w:p>
    <w:p w14:paraId="761B208D" w14:textId="77777777" w:rsidR="00B052AB" w:rsidRPr="00B052AB" w:rsidRDefault="00B052AB" w:rsidP="00B052AB">
      <w:pPr>
        <w:numPr>
          <w:ilvl w:val="0"/>
          <w:numId w:val="158"/>
        </w:numPr>
        <w:autoSpaceDE w:val="0"/>
        <w:autoSpaceDN w:val="0"/>
        <w:adjustRightInd w:val="0"/>
        <w:spacing w:before="120" w:after="120" w:line="360" w:lineRule="auto"/>
        <w:ind w:left="993" w:hanging="426"/>
        <w:jc w:val="both"/>
        <w:rPr>
          <w:rFonts w:ascii="Arial" w:hAnsi="Arial" w:cs="Arial"/>
        </w:rPr>
      </w:pPr>
      <w:r w:rsidRPr="00B052AB">
        <w:rPr>
          <w:rFonts w:ascii="Arial" w:hAnsi="Arial" w:cs="Arial"/>
        </w:rPr>
        <w:t xml:space="preserve">wydatki związane z zaangażowaniem osób wykonujących czynności niezwiązane bezpośrednio z głównymi celami i produktami projektu, z zastrzeżeniem zapisów podrozdziału 6.15 </w:t>
      </w:r>
      <w:r w:rsidRPr="00B052AB">
        <w:rPr>
          <w:rFonts w:ascii="Arial" w:hAnsi="Arial" w:cs="Arial"/>
          <w:i/>
        </w:rPr>
        <w:t>Wytycznych</w:t>
      </w:r>
      <w:r w:rsidRPr="00B052AB">
        <w:rPr>
          <w:rFonts w:ascii="Arial" w:hAnsi="Arial" w:cs="Arial"/>
        </w:rPr>
        <w:t>. Można do nich zaliczyć wydatki poniesione na pokrycie kosztów wynagrodzeń osób zaliczających się do personelu wsparcia, czyli osób zaangażowanych w obsługę techniczną projektu, w tym obsługę kadrową, administracyjną, sekretariat i kancelarię, księgowość, obsługę w zakresie promocji, zamówień, prawnym i realizujące także inne działania niezwiązane z wdrażaniem konkretnych zadań wskazanych we wniosku o dofinansowanie projektu,</w:t>
      </w:r>
    </w:p>
    <w:p w14:paraId="09BCB2AB" w14:textId="77777777" w:rsidR="00B052AB" w:rsidRPr="00B052AB" w:rsidRDefault="00B052AB" w:rsidP="00B052AB">
      <w:pPr>
        <w:numPr>
          <w:ilvl w:val="0"/>
          <w:numId w:val="158"/>
        </w:numPr>
        <w:autoSpaceDE w:val="0"/>
        <w:autoSpaceDN w:val="0"/>
        <w:adjustRightInd w:val="0"/>
        <w:spacing w:before="120" w:after="120" w:line="360" w:lineRule="auto"/>
        <w:jc w:val="both"/>
        <w:rPr>
          <w:rFonts w:ascii="Arial" w:hAnsi="Arial" w:cs="Arial"/>
          <w:color w:val="000000"/>
        </w:rPr>
      </w:pPr>
      <w:r w:rsidRPr="00B052AB">
        <w:rPr>
          <w:rFonts w:ascii="Arial" w:hAnsi="Arial" w:cs="Arial"/>
          <w:color w:val="000000"/>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p>
    <w:p w14:paraId="271EFDE6"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D032C2">
        <w:rPr>
          <w:rFonts w:ascii="Arial" w:hAnsi="Arial" w:cs="Arial"/>
        </w:rPr>
        <w:t xml:space="preserve">Powyższe wydatki są kwalifikowalne w wysokości nie przekraczającej 10% całkowitych wydatków kwalifikowalnych projektu. W przypadku zmiany wysokości kosztów </w:t>
      </w:r>
      <w:r w:rsidRPr="00D032C2">
        <w:rPr>
          <w:rFonts w:ascii="Arial" w:hAnsi="Arial" w:cs="Arial"/>
        </w:rPr>
        <w:lastRenderedPageBreak/>
        <w:t>kwalifikowanych w projekcie należy ponownie przeliczyć limit określony dla kosztów pośrednich.</w:t>
      </w:r>
    </w:p>
    <w:p w14:paraId="707E20B1" w14:textId="641015E0" w:rsidR="00EB2C27" w:rsidRDefault="00EB2C27">
      <w:pPr>
        <w:rPr>
          <w:rFonts w:ascii="Arial" w:hAnsi="Arial" w:cs="Arial"/>
        </w:rPr>
      </w:pPr>
      <w:r>
        <w:rPr>
          <w:rFonts w:ascii="Arial" w:hAnsi="Arial" w:cs="Arial"/>
        </w:rPr>
        <w:br w:type="page"/>
      </w:r>
    </w:p>
    <w:p w14:paraId="582428C3" w14:textId="77777777" w:rsidR="00944E2A" w:rsidRDefault="00944E2A">
      <w:pPr>
        <w:rPr>
          <w:rFonts w:ascii="Arial" w:hAnsi="Arial" w:cs="Arial"/>
        </w:rPr>
      </w:pPr>
    </w:p>
    <w:p w14:paraId="31B911F9" w14:textId="77777777"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4" w:name="_Toc10542541"/>
      <w:r w:rsidRPr="00B81671">
        <w:rPr>
          <w:rFonts w:ascii="Arial" w:eastAsia="Times New Roman" w:hAnsi="Arial" w:cs="Times New Roman"/>
          <w:b/>
          <w:bCs/>
          <w:sz w:val="24"/>
          <w:szCs w:val="20"/>
          <w:lang w:eastAsia="pl-PL"/>
        </w:rPr>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Pzp</w:t>
      </w:r>
      <w:bookmarkEnd w:id="94"/>
    </w:p>
    <w:p w14:paraId="23F3580C" w14:textId="77777777" w:rsidR="005530C1" w:rsidRPr="00B81671" w:rsidRDefault="005530C1" w:rsidP="005530C1">
      <w:pPr>
        <w:spacing w:after="0" w:line="360" w:lineRule="auto"/>
        <w:ind w:left="426"/>
        <w:jc w:val="both"/>
        <w:rPr>
          <w:rFonts w:ascii="Arial" w:eastAsia="Times New Roman" w:hAnsi="Arial" w:cs="Arial"/>
          <w:lang w:eastAsia="pl-PL"/>
        </w:rPr>
      </w:pPr>
    </w:p>
    <w:p w14:paraId="49858EF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14:paraId="23CB5674"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14:paraId="4AC0721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14:paraId="53E6916F"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14:paraId="4F66336E" w14:textId="77777777"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14:paraId="1ECFD037" w14:textId="77777777"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14:paraId="25738BE0"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14:paraId="5CC9C533"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14:paraId="439F118A"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14:paraId="4870B71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Żądanie zamawiającego, aby wykonawca posiadał doświadczenie w realizacji usług, dostaw lub robót budowlanych wykonywanych wyłącznie w Polsce.</w:t>
      </w:r>
    </w:p>
    <w:p w14:paraId="272C028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14:paraId="5E690E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lub jakimkolwiek innym podmiotem/jakąkolwiek inną osobą sposobu poprawienia omyłek, które pojawiły się w ofercie, a o których mowa w przepisie art.  87 ust. 2 ustawy Pzp.</w:t>
      </w:r>
    </w:p>
    <w:p w14:paraId="7F571223"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14:paraId="4A5FCB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5807ACFA"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14:paraId="3983E8C2" w14:textId="77777777"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14:paraId="14853092" w14:textId="77777777" w:rsidR="005530C1" w:rsidRPr="00B81671" w:rsidRDefault="005530C1" w:rsidP="00903FFD">
      <w:pPr>
        <w:spacing w:after="0" w:line="360" w:lineRule="auto"/>
        <w:ind w:left="426"/>
        <w:jc w:val="both"/>
        <w:rPr>
          <w:rFonts w:ascii="Arial" w:eastAsia="Times New Roman" w:hAnsi="Arial" w:cs="Arial"/>
          <w:lang w:eastAsia="pl-PL"/>
        </w:rPr>
      </w:pPr>
    </w:p>
    <w:p w14:paraId="54A51F90" w14:textId="77777777" w:rsidR="005530C1" w:rsidRPr="00B81671" w:rsidRDefault="005530C1" w:rsidP="00903FFD">
      <w:pPr>
        <w:spacing w:after="0" w:line="360" w:lineRule="auto"/>
        <w:ind w:left="426"/>
        <w:jc w:val="both"/>
        <w:rPr>
          <w:rFonts w:ascii="Arial" w:eastAsia="Times New Roman" w:hAnsi="Arial" w:cs="Arial"/>
          <w:lang w:eastAsia="pl-PL"/>
        </w:rPr>
      </w:pPr>
    </w:p>
    <w:p w14:paraId="5DB8BEF0" w14:textId="77777777" w:rsidR="005530C1" w:rsidRPr="00B81671" w:rsidRDefault="005530C1" w:rsidP="00903FFD">
      <w:pPr>
        <w:spacing w:after="0" w:line="360" w:lineRule="auto"/>
        <w:ind w:left="426"/>
        <w:jc w:val="both"/>
        <w:rPr>
          <w:rFonts w:ascii="Arial" w:eastAsia="Times New Roman" w:hAnsi="Arial" w:cs="Arial"/>
          <w:lang w:eastAsia="pl-PL"/>
        </w:rPr>
      </w:pPr>
    </w:p>
    <w:p w14:paraId="1381DF0C" w14:textId="77777777" w:rsidR="005530C1" w:rsidRPr="00B81671" w:rsidRDefault="005530C1" w:rsidP="00903FFD">
      <w:pPr>
        <w:spacing w:after="0" w:line="360" w:lineRule="auto"/>
        <w:ind w:left="426"/>
        <w:jc w:val="both"/>
        <w:rPr>
          <w:rFonts w:ascii="Arial" w:eastAsia="Times New Roman" w:hAnsi="Arial" w:cs="Arial"/>
          <w:lang w:eastAsia="pl-PL"/>
        </w:rPr>
      </w:pPr>
    </w:p>
    <w:p w14:paraId="78568B60" w14:textId="77777777" w:rsidR="00AA41C9" w:rsidRPr="00B81671" w:rsidRDefault="00AA41C9" w:rsidP="001B27A2">
      <w:pPr>
        <w:spacing w:after="0" w:line="360" w:lineRule="auto"/>
        <w:jc w:val="both"/>
        <w:rPr>
          <w:rFonts w:ascii="Arial" w:eastAsia="Calibri" w:hAnsi="Arial" w:cs="Times New Roman"/>
          <w:szCs w:val="20"/>
        </w:rPr>
      </w:pPr>
    </w:p>
    <w:p w14:paraId="2B2DCEAC" w14:textId="77777777" w:rsidR="00AA41C9" w:rsidRPr="00B81671" w:rsidRDefault="00AA41C9" w:rsidP="001B27A2">
      <w:pPr>
        <w:spacing w:after="0" w:line="360" w:lineRule="auto"/>
        <w:jc w:val="both"/>
      </w:pPr>
    </w:p>
    <w:p w14:paraId="175E6C70" w14:textId="77777777" w:rsidR="007E0407" w:rsidRPr="00B81671" w:rsidRDefault="007E0407">
      <w:r w:rsidRPr="00B81671">
        <w:br w:type="page"/>
      </w:r>
    </w:p>
    <w:p w14:paraId="1C72B0E6" w14:textId="77777777"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14:paraId="76F92179" w14:textId="77777777"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5" w:name="_Toc10542542"/>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5"/>
    </w:p>
    <w:p w14:paraId="4E860875" w14:textId="77777777" w:rsidR="0065055F" w:rsidRPr="00B81671" w:rsidRDefault="0065055F" w:rsidP="0065055F">
      <w:pPr>
        <w:spacing w:before="120" w:after="120" w:line="360" w:lineRule="auto"/>
        <w:jc w:val="both"/>
        <w:rPr>
          <w:rFonts w:ascii="Arial" w:eastAsia="MS Mincho" w:hAnsi="Arial" w:cs="Arial"/>
          <w:lang w:eastAsia="ja-JP"/>
        </w:rPr>
      </w:pPr>
    </w:p>
    <w:p w14:paraId="06FF40C2" w14:textId="77777777"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14:paraId="2B9E555E" w14:textId="77777777" w:rsidTr="00773FC4">
        <w:tc>
          <w:tcPr>
            <w:tcW w:w="2835" w:type="dxa"/>
            <w:vMerge w:val="restart"/>
            <w:vAlign w:val="center"/>
          </w:tcPr>
          <w:p w14:paraId="0963F433" w14:textId="77777777"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14:paraId="5A9BF1F6" w14:textId="77777777"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14:paraId="6A07935F" w14:textId="77777777" w:rsidTr="00773FC4">
        <w:tc>
          <w:tcPr>
            <w:tcW w:w="2835" w:type="dxa"/>
            <w:vMerge/>
            <w:vAlign w:val="center"/>
          </w:tcPr>
          <w:p w14:paraId="743DB94F" w14:textId="77777777"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14:paraId="7EFAF472" w14:textId="77777777" w:rsidR="0065055F" w:rsidRPr="00B81671" w:rsidRDefault="0065055F" w:rsidP="00773FC4">
            <w:pPr>
              <w:jc w:val="center"/>
              <w:rPr>
                <w:rFonts w:ascii="Arial" w:hAnsi="Arial" w:cs="Arial"/>
                <w:b/>
              </w:rPr>
            </w:pPr>
            <w:r w:rsidRPr="00B81671">
              <w:rPr>
                <w:rFonts w:ascii="Arial" w:hAnsi="Arial" w:cs="Arial"/>
                <w:b/>
              </w:rPr>
              <w:t>Zamawiający zobligowani do stosowania Pzp (zgodnie z art. 3 Pzp)</w:t>
            </w:r>
          </w:p>
        </w:tc>
        <w:tc>
          <w:tcPr>
            <w:tcW w:w="3827" w:type="dxa"/>
            <w:vAlign w:val="center"/>
          </w:tcPr>
          <w:p w14:paraId="7C80B737" w14:textId="77777777"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14:paraId="7101B848" w14:textId="77777777" w:rsidR="0065055F" w:rsidRPr="00B81671" w:rsidRDefault="0065055F" w:rsidP="00FE6D5B">
            <w:pPr>
              <w:jc w:val="center"/>
              <w:rPr>
                <w:rFonts w:ascii="Arial" w:hAnsi="Arial" w:cs="Arial"/>
                <w:b/>
              </w:rPr>
            </w:pPr>
            <w:r w:rsidRPr="00B81671">
              <w:rPr>
                <w:rFonts w:ascii="Arial" w:hAnsi="Arial" w:cs="Arial"/>
                <w:b/>
              </w:rPr>
              <w:t>Zamawiający niezobowiązani do stosowania Pzp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14:paraId="4EED74A5" w14:textId="77777777" w:rsidTr="00773FC4">
        <w:trPr>
          <w:trHeight w:val="383"/>
        </w:trPr>
        <w:tc>
          <w:tcPr>
            <w:tcW w:w="2835" w:type="dxa"/>
          </w:tcPr>
          <w:p w14:paraId="3FAD8F09"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14:paraId="005518DA"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14:paraId="5BA708BC"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14:paraId="3206EE37"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14:paraId="289DA779" w14:textId="77777777" w:rsidTr="00773FC4">
        <w:tc>
          <w:tcPr>
            <w:tcW w:w="2835" w:type="dxa"/>
          </w:tcPr>
          <w:p w14:paraId="06A0AE6B" w14:textId="77777777" w:rsidR="0065055F" w:rsidRPr="00B81671" w:rsidRDefault="0065055F" w:rsidP="00773FC4">
            <w:pPr>
              <w:jc w:val="center"/>
              <w:rPr>
                <w:rFonts w:ascii="Arial" w:hAnsi="Arial" w:cs="Arial"/>
                <w:b/>
                <w:sz w:val="20"/>
                <w:szCs w:val="20"/>
              </w:rPr>
            </w:pPr>
          </w:p>
          <w:p w14:paraId="5D4FF57E"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14:paraId="5F89CC92"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4479E929"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14:paraId="13F2A7DC"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14:paraId="5F1E4DDB"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14:paraId="7482DC5B" w14:textId="77777777" w:rsidTr="00773FC4">
        <w:trPr>
          <w:trHeight w:val="1536"/>
        </w:trPr>
        <w:tc>
          <w:tcPr>
            <w:tcW w:w="2835" w:type="dxa"/>
          </w:tcPr>
          <w:p w14:paraId="432E896D" w14:textId="77777777" w:rsidR="0065055F" w:rsidRPr="00B81671" w:rsidRDefault="0065055F" w:rsidP="00773FC4">
            <w:pPr>
              <w:jc w:val="center"/>
              <w:rPr>
                <w:rFonts w:ascii="Arial" w:hAnsi="Arial" w:cs="Arial"/>
                <w:b/>
                <w:sz w:val="20"/>
                <w:szCs w:val="20"/>
              </w:rPr>
            </w:pPr>
          </w:p>
          <w:p w14:paraId="6B5AE47A"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Pzp tj. 30 ty</w:t>
            </w:r>
            <w:r w:rsidR="00DC366C">
              <w:rPr>
                <w:rFonts w:ascii="Arial" w:hAnsi="Arial" w:cs="Arial"/>
                <w:b/>
                <w:sz w:val="20"/>
                <w:szCs w:val="20"/>
              </w:rPr>
              <w:t>s.</w:t>
            </w:r>
            <w:r w:rsidRPr="00B81671">
              <w:rPr>
                <w:rFonts w:ascii="Arial" w:hAnsi="Arial" w:cs="Arial"/>
                <w:b/>
                <w:sz w:val="20"/>
                <w:szCs w:val="20"/>
              </w:rPr>
              <w:t xml:space="preserve"> euro netto</w:t>
            </w:r>
          </w:p>
          <w:p w14:paraId="18FBF9E9"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15AF0E2E" w14:textId="77777777" w:rsidR="0065055F" w:rsidRPr="00B81671" w:rsidRDefault="0065055F" w:rsidP="00773FC4">
            <w:pPr>
              <w:rPr>
                <w:rFonts w:ascii="Arial" w:hAnsi="Arial" w:cs="Arial"/>
                <w:b/>
                <w:sz w:val="20"/>
                <w:szCs w:val="20"/>
              </w:rPr>
            </w:pPr>
          </w:p>
          <w:p w14:paraId="77BFA677"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14:paraId="0E62266F" w14:textId="77777777" w:rsidR="0065055F" w:rsidRPr="00B81671" w:rsidRDefault="0065055F" w:rsidP="00773FC4">
            <w:pPr>
              <w:rPr>
                <w:rFonts w:ascii="Arial" w:hAnsi="Arial" w:cs="Arial"/>
                <w:b/>
                <w:sz w:val="20"/>
                <w:szCs w:val="20"/>
              </w:rPr>
            </w:pPr>
          </w:p>
          <w:p w14:paraId="666925E5" w14:textId="77777777"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14:paraId="6ADFBD85" w14:textId="77777777" w:rsidR="0065055F" w:rsidRPr="00B81671" w:rsidRDefault="0065055F" w:rsidP="00773FC4">
            <w:pPr>
              <w:rPr>
                <w:rFonts w:ascii="Arial" w:hAnsi="Arial" w:cs="Arial"/>
                <w:b/>
                <w:sz w:val="20"/>
                <w:szCs w:val="20"/>
              </w:rPr>
            </w:pPr>
          </w:p>
          <w:p w14:paraId="247696C5"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14:paraId="076AF469" w14:textId="77777777" w:rsidTr="00773FC4">
        <w:tc>
          <w:tcPr>
            <w:tcW w:w="2835" w:type="dxa"/>
          </w:tcPr>
          <w:p w14:paraId="5B4C7243" w14:textId="77777777" w:rsidR="0065055F" w:rsidRPr="00B81671" w:rsidRDefault="0065055F" w:rsidP="00773FC4">
            <w:pPr>
              <w:jc w:val="center"/>
              <w:rPr>
                <w:rFonts w:ascii="Arial" w:hAnsi="Arial" w:cs="Arial"/>
                <w:b/>
                <w:sz w:val="20"/>
                <w:szCs w:val="20"/>
              </w:rPr>
            </w:pPr>
          </w:p>
          <w:p w14:paraId="1EC86110"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14:paraId="08406BCC"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2A742171" w14:textId="77777777" w:rsidR="0065055F" w:rsidRPr="00B81671" w:rsidRDefault="0065055F" w:rsidP="00773FC4">
            <w:pPr>
              <w:rPr>
                <w:rFonts w:ascii="Arial" w:hAnsi="Arial" w:cs="Arial"/>
                <w:b/>
                <w:sz w:val="20"/>
                <w:szCs w:val="20"/>
              </w:rPr>
            </w:pPr>
          </w:p>
          <w:p w14:paraId="4433A599" w14:textId="77777777" w:rsidR="0065055F" w:rsidRPr="00B81671" w:rsidRDefault="0065055F" w:rsidP="00773FC4">
            <w:pPr>
              <w:spacing w:before="120" w:after="120" w:line="360" w:lineRule="auto"/>
              <w:rPr>
                <w:rFonts w:ascii="Arial" w:eastAsia="MS Mincho" w:hAnsi="Arial" w:cs="Arial"/>
                <w:i/>
                <w:lang w:eastAsia="ja-JP"/>
              </w:rPr>
            </w:pPr>
            <w:r w:rsidRPr="00B81671">
              <w:rPr>
                <w:rFonts w:ascii="Arial" w:hAnsi="Arial" w:cs="Arial"/>
                <w:b/>
                <w:sz w:val="20"/>
                <w:szCs w:val="20"/>
              </w:rPr>
              <w:t>Pzp</w:t>
            </w:r>
          </w:p>
        </w:tc>
        <w:tc>
          <w:tcPr>
            <w:tcW w:w="3827" w:type="dxa"/>
          </w:tcPr>
          <w:p w14:paraId="0C64A53E" w14:textId="77777777" w:rsidR="0065055F" w:rsidRPr="00B81671" w:rsidRDefault="0065055F" w:rsidP="00773FC4">
            <w:pPr>
              <w:rPr>
                <w:rFonts w:ascii="Arial" w:hAnsi="Arial" w:cs="Arial"/>
                <w:b/>
                <w:sz w:val="20"/>
                <w:szCs w:val="20"/>
              </w:rPr>
            </w:pPr>
          </w:p>
          <w:p w14:paraId="0C23FA04"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14:paraId="5B3B31A9" w14:textId="77777777" w:rsidR="0065055F" w:rsidRPr="00B81671" w:rsidRDefault="0065055F" w:rsidP="00773FC4">
            <w:pPr>
              <w:rPr>
                <w:rFonts w:ascii="Arial" w:hAnsi="Arial" w:cs="Arial"/>
                <w:b/>
                <w:sz w:val="20"/>
                <w:szCs w:val="20"/>
              </w:rPr>
            </w:pPr>
          </w:p>
          <w:p w14:paraId="08ED01CE" w14:textId="77777777"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14:paraId="2D2F18F1" w14:textId="77777777" w:rsidR="007E0407" w:rsidRPr="007E469E" w:rsidRDefault="007E0407" w:rsidP="007E0407">
      <w:pPr>
        <w:spacing w:after="0" w:line="240" w:lineRule="auto"/>
      </w:pPr>
    </w:p>
    <w:p w14:paraId="02DCA341" w14:textId="77777777"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DA29C" w14:textId="77777777" w:rsidR="00B758DF" w:rsidRDefault="00B758DF" w:rsidP="00045401">
      <w:pPr>
        <w:spacing w:after="0" w:line="240" w:lineRule="auto"/>
      </w:pPr>
      <w:r>
        <w:separator/>
      </w:r>
    </w:p>
  </w:endnote>
  <w:endnote w:type="continuationSeparator" w:id="0">
    <w:p w14:paraId="74491594" w14:textId="77777777" w:rsidR="00B758DF" w:rsidRDefault="00B758DF"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219629"/>
      <w:docPartObj>
        <w:docPartGallery w:val="Page Numbers (Bottom of Page)"/>
        <w:docPartUnique/>
      </w:docPartObj>
    </w:sdtPr>
    <w:sdtEndPr/>
    <w:sdtContent>
      <w:p w14:paraId="06280B6C" w14:textId="324916A3" w:rsidR="00804B85" w:rsidRDefault="00804B85">
        <w:pPr>
          <w:pStyle w:val="Stopka"/>
          <w:jc w:val="right"/>
        </w:pPr>
        <w:r>
          <w:fldChar w:fldCharType="begin"/>
        </w:r>
        <w:r>
          <w:instrText>PAGE   \* MERGEFORMAT</w:instrText>
        </w:r>
        <w:r>
          <w:fldChar w:fldCharType="separate"/>
        </w:r>
        <w:r w:rsidR="0064321F">
          <w:rPr>
            <w:noProof/>
          </w:rPr>
          <w:t>2</w:t>
        </w:r>
        <w:r>
          <w:fldChar w:fldCharType="end"/>
        </w:r>
      </w:p>
    </w:sdtContent>
  </w:sdt>
  <w:p w14:paraId="494AD619" w14:textId="77777777" w:rsidR="00804B85" w:rsidRDefault="00804B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510FF" w14:textId="77777777" w:rsidR="00B758DF" w:rsidRDefault="00B758DF" w:rsidP="00045401">
      <w:pPr>
        <w:spacing w:after="0" w:line="240" w:lineRule="auto"/>
      </w:pPr>
      <w:r>
        <w:separator/>
      </w:r>
    </w:p>
  </w:footnote>
  <w:footnote w:type="continuationSeparator" w:id="0">
    <w:p w14:paraId="0F616B74" w14:textId="77777777" w:rsidR="00B758DF" w:rsidRDefault="00B758DF" w:rsidP="00045401">
      <w:pPr>
        <w:spacing w:after="0" w:line="240" w:lineRule="auto"/>
      </w:pPr>
      <w:r>
        <w:continuationSeparator/>
      </w:r>
    </w:p>
  </w:footnote>
  <w:footnote w:id="1">
    <w:p w14:paraId="56C744BA" w14:textId="77777777" w:rsidR="00804B85" w:rsidRPr="00395C47" w:rsidRDefault="00804B85"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14:paraId="35A46817" w14:textId="77777777" w:rsidR="00804B85" w:rsidRPr="000E3E65" w:rsidRDefault="00804B85"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14:paraId="7F3A0FFF" w14:textId="77777777" w:rsidR="00804B85" w:rsidRPr="00C55C98" w:rsidRDefault="00804B85"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14:paraId="073E2868" w14:textId="77777777" w:rsidR="00804B85" w:rsidRPr="00C55C98" w:rsidRDefault="00804B85"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5">
    <w:p w14:paraId="5771C6FA" w14:textId="77777777" w:rsidR="00804B85" w:rsidRPr="006E7156" w:rsidRDefault="00804B85"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6">
    <w:p w14:paraId="42EB5729" w14:textId="77777777" w:rsidR="00804B85" w:rsidRPr="006E7156" w:rsidRDefault="00804B85"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7">
    <w:p w14:paraId="597BA0C7" w14:textId="77777777" w:rsidR="00804B85" w:rsidRPr="003217B9" w:rsidRDefault="00804B85"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long-term evolution) lub LTEAdvanced,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8">
    <w:p w14:paraId="76D3C6CF" w14:textId="77777777" w:rsidR="00804B85" w:rsidRPr="00AA2E60" w:rsidRDefault="00804B85"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9">
    <w:p w14:paraId="357EEF35" w14:textId="77777777" w:rsidR="00804B85" w:rsidRPr="00F80636" w:rsidRDefault="00804B85"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późn. zm.</w:t>
      </w:r>
    </w:p>
  </w:footnote>
  <w:footnote w:id="10">
    <w:p w14:paraId="61AB8F68" w14:textId="77777777" w:rsidR="00804B85" w:rsidRPr="006803C1" w:rsidRDefault="00804B85"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DDO-52-93(3)/11/MGr</w:t>
      </w:r>
      <w:r>
        <w:rPr>
          <w:rFonts w:ascii="Arial" w:hAnsi="Arial" w:cs="Arial"/>
          <w:sz w:val="16"/>
          <w:szCs w:val="16"/>
          <w:lang w:val="pl-PL"/>
        </w:rPr>
        <w:t>.</w:t>
      </w:r>
      <w:r w:rsidRPr="006803C1">
        <w:rPr>
          <w:rFonts w:ascii="Arial" w:hAnsi="Arial" w:cs="Arial"/>
          <w:sz w:val="16"/>
          <w:szCs w:val="16"/>
          <w:lang w:val="pl-PL"/>
        </w:rPr>
        <w:t xml:space="preserve"> </w:t>
      </w:r>
    </w:p>
  </w:footnote>
  <w:footnote w:id="11">
    <w:p w14:paraId="0DA969BE" w14:textId="77777777" w:rsidR="00804B85" w:rsidRPr="00AA2E60" w:rsidRDefault="00804B85"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2">
    <w:p w14:paraId="374A5326" w14:textId="77777777" w:rsidR="00804B85" w:rsidRPr="006E7156" w:rsidRDefault="00804B85">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3">
    <w:p w14:paraId="3964AA54" w14:textId="77777777" w:rsidR="00804B85" w:rsidRPr="00136638" w:rsidRDefault="00804B85"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4">
    <w:p w14:paraId="65E723F7" w14:textId="77777777" w:rsidR="00804B85" w:rsidRPr="006E7156" w:rsidRDefault="00804B85">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5">
    <w:p w14:paraId="6F5BB78F" w14:textId="77777777" w:rsidR="00804B85" w:rsidRPr="006E7156" w:rsidRDefault="00804B85"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DED78D3"/>
    <w:multiLevelType w:val="hybridMultilevel"/>
    <w:tmpl w:val="BB68377A"/>
    <w:lvl w:ilvl="0" w:tplc="61CC2F4C">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30"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1E0B4CB7"/>
    <w:multiLevelType w:val="hybridMultilevel"/>
    <w:tmpl w:val="4DB0B432"/>
    <w:lvl w:ilvl="0" w:tplc="5FD039D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9"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26C3FAB"/>
    <w:multiLevelType w:val="hybridMultilevel"/>
    <w:tmpl w:val="442A6B88"/>
    <w:lvl w:ilvl="0" w:tplc="64AA4FEE">
      <w:start w:val="1"/>
      <w:numFmt w:val="lowerRoman"/>
      <w:lvlText w:val="%1)"/>
      <w:lvlJc w:val="left"/>
      <w:pPr>
        <w:ind w:left="928" w:hanging="360"/>
      </w:pPr>
      <w:rPr>
        <w:rFonts w:asciiTheme="minorHAnsi" w:eastAsiaTheme="minorHAnsi" w:hAnsiTheme="minorHAnsi" w:cstheme="minorBidi"/>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60"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7"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9"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5"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4"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5"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00"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15:restartNumberingAfterBreak="0">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4"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8"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0"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862"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7" w15:restartNumberingAfterBreak="0">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0"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31"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3"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9"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6" w15:restartNumberingAfterBreak="0">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9"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51"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1"/>
  </w:num>
  <w:num w:numId="2">
    <w:abstractNumId w:val="82"/>
  </w:num>
  <w:num w:numId="3">
    <w:abstractNumId w:val="134"/>
  </w:num>
  <w:num w:numId="4">
    <w:abstractNumId w:val="130"/>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num>
  <w:num w:numId="7">
    <w:abstractNumId w:val="142"/>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6"/>
  </w:num>
  <w:num w:numId="12">
    <w:abstractNumId w:val="9"/>
  </w:num>
  <w:num w:numId="13">
    <w:abstractNumId w:val="126"/>
  </w:num>
  <w:num w:numId="14">
    <w:abstractNumId w:val="104"/>
  </w:num>
  <w:num w:numId="15">
    <w:abstractNumId w:val="57"/>
  </w:num>
  <w:num w:numId="16">
    <w:abstractNumId w:val="124"/>
  </w:num>
  <w:num w:numId="17">
    <w:abstractNumId w:val="115"/>
  </w:num>
  <w:num w:numId="18">
    <w:abstractNumId w:val="98"/>
  </w:num>
  <w:num w:numId="19">
    <w:abstractNumId w:val="95"/>
  </w:num>
  <w:num w:numId="20">
    <w:abstractNumId w:val="149"/>
  </w:num>
  <w:num w:numId="21">
    <w:abstractNumId w:val="4"/>
  </w:num>
  <w:num w:numId="22">
    <w:abstractNumId w:val="46"/>
  </w:num>
  <w:num w:numId="23">
    <w:abstractNumId w:val="108"/>
  </w:num>
  <w:num w:numId="24">
    <w:abstractNumId w:val="54"/>
  </w:num>
  <w:num w:numId="25">
    <w:abstractNumId w:val="127"/>
  </w:num>
  <w:num w:numId="26">
    <w:abstractNumId w:val="141"/>
  </w:num>
  <w:num w:numId="27">
    <w:abstractNumId w:val="50"/>
  </w:num>
  <w:num w:numId="28">
    <w:abstractNumId w:val="89"/>
  </w:num>
  <w:num w:numId="29">
    <w:abstractNumId w:val="55"/>
  </w:num>
  <w:num w:numId="30">
    <w:abstractNumId w:val="31"/>
  </w:num>
  <w:num w:numId="31">
    <w:abstractNumId w:val="8"/>
  </w:num>
  <w:num w:numId="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121"/>
  </w:num>
  <w:num w:numId="35">
    <w:abstractNumId w:val="74"/>
  </w:num>
  <w:num w:numId="36">
    <w:abstractNumId w:val="81"/>
  </w:num>
  <w:num w:numId="37">
    <w:abstractNumId w:val="102"/>
  </w:num>
  <w:num w:numId="38">
    <w:abstractNumId w:val="96"/>
  </w:num>
  <w:num w:numId="39">
    <w:abstractNumId w:val="65"/>
  </w:num>
  <w:num w:numId="40">
    <w:abstractNumId w:val="112"/>
  </w:num>
  <w:num w:numId="41">
    <w:abstractNumId w:val="28"/>
  </w:num>
  <w:num w:numId="42">
    <w:abstractNumId w:val="79"/>
  </w:num>
  <w:num w:numId="43">
    <w:abstractNumId w:val="51"/>
  </w:num>
  <w:num w:numId="44">
    <w:abstractNumId w:val="118"/>
  </w:num>
  <w:num w:numId="45">
    <w:abstractNumId w:val="138"/>
  </w:num>
  <w:num w:numId="46">
    <w:abstractNumId w:val="133"/>
  </w:num>
  <w:num w:numId="47">
    <w:abstractNumId w:val="80"/>
  </w:num>
  <w:num w:numId="48">
    <w:abstractNumId w:val="25"/>
  </w:num>
  <w:num w:numId="49">
    <w:abstractNumId w:val="5"/>
  </w:num>
  <w:num w:numId="50">
    <w:abstractNumId w:val="110"/>
  </w:num>
  <w:num w:numId="51">
    <w:abstractNumId w:val="40"/>
  </w:num>
  <w:num w:numId="52">
    <w:abstractNumId w:val="139"/>
  </w:num>
  <w:num w:numId="53">
    <w:abstractNumId w:val="26"/>
  </w:num>
  <w:num w:numId="54">
    <w:abstractNumId w:val="67"/>
  </w:num>
  <w:num w:numId="55">
    <w:abstractNumId w:val="19"/>
  </w:num>
  <w:num w:numId="56">
    <w:abstractNumId w:val="56"/>
  </w:num>
  <w:num w:numId="57">
    <w:abstractNumId w:val="91"/>
  </w:num>
  <w:num w:numId="58">
    <w:abstractNumId w:val="147"/>
  </w:num>
  <w:num w:numId="59">
    <w:abstractNumId w:val="63"/>
  </w:num>
  <w:num w:numId="60">
    <w:abstractNumId w:val="6"/>
  </w:num>
  <w:num w:numId="61">
    <w:abstractNumId w:val="151"/>
  </w:num>
  <w:num w:numId="62">
    <w:abstractNumId w:val="33"/>
  </w:num>
  <w:num w:numId="63">
    <w:abstractNumId w:val="99"/>
  </w:num>
  <w:num w:numId="64">
    <w:abstractNumId w:val="93"/>
  </w:num>
  <w:num w:numId="65">
    <w:abstractNumId w:val="38"/>
  </w:num>
  <w:num w:numId="66">
    <w:abstractNumId w:val="144"/>
  </w:num>
  <w:num w:numId="67">
    <w:abstractNumId w:val="128"/>
  </w:num>
  <w:num w:numId="68">
    <w:abstractNumId w:val="3"/>
  </w:num>
  <w:num w:numId="69">
    <w:abstractNumId w:val="135"/>
  </w:num>
  <w:num w:numId="70">
    <w:abstractNumId w:val="42"/>
  </w:num>
  <w:num w:numId="71">
    <w:abstractNumId w:val="88"/>
  </w:num>
  <w:num w:numId="72">
    <w:abstractNumId w:val="86"/>
  </w:num>
  <w:num w:numId="73">
    <w:abstractNumId w:val="137"/>
  </w:num>
  <w:num w:numId="74">
    <w:abstractNumId w:val="30"/>
  </w:num>
  <w:num w:numId="75">
    <w:abstractNumId w:val="24"/>
  </w:num>
  <w:num w:numId="76">
    <w:abstractNumId w:val="32"/>
  </w:num>
  <w:num w:numId="77">
    <w:abstractNumId w:val="90"/>
  </w:num>
  <w:num w:numId="78">
    <w:abstractNumId w:val="117"/>
  </w:num>
  <w:num w:numId="79">
    <w:abstractNumId w:val="61"/>
  </w:num>
  <w:num w:numId="80">
    <w:abstractNumId w:val="13"/>
  </w:num>
  <w:num w:numId="81">
    <w:abstractNumId w:val="58"/>
  </w:num>
  <w:num w:numId="82">
    <w:abstractNumId w:val="97"/>
  </w:num>
  <w:num w:numId="83">
    <w:abstractNumId w:val="69"/>
  </w:num>
  <w:num w:numId="84">
    <w:abstractNumId w:val="20"/>
  </w:num>
  <w:num w:numId="85">
    <w:abstractNumId w:val="44"/>
  </w:num>
  <w:num w:numId="86">
    <w:abstractNumId w:val="103"/>
  </w:num>
  <w:num w:numId="87">
    <w:abstractNumId w:val="18"/>
  </w:num>
  <w:num w:numId="88">
    <w:abstractNumId w:val="109"/>
  </w:num>
  <w:num w:numId="89">
    <w:abstractNumId w:val="123"/>
  </w:num>
  <w:num w:numId="90">
    <w:abstractNumId w:val="100"/>
  </w:num>
  <w:num w:numId="91">
    <w:abstractNumId w:val="145"/>
  </w:num>
  <w:num w:numId="92">
    <w:abstractNumId w:val="114"/>
  </w:num>
  <w:num w:numId="93">
    <w:abstractNumId w:val="70"/>
  </w:num>
  <w:num w:numId="94">
    <w:abstractNumId w:val="23"/>
  </w:num>
  <w:num w:numId="95">
    <w:abstractNumId w:val="73"/>
  </w:num>
  <w:num w:numId="96">
    <w:abstractNumId w:val="105"/>
  </w:num>
  <w:num w:numId="97">
    <w:abstractNumId w:val="92"/>
  </w:num>
  <w:num w:numId="98">
    <w:abstractNumId w:val="0"/>
  </w:num>
  <w:num w:numId="99">
    <w:abstractNumId w:val="37"/>
  </w:num>
  <w:num w:numId="100">
    <w:abstractNumId w:val="72"/>
  </w:num>
  <w:num w:numId="101">
    <w:abstractNumId w:val="71"/>
  </w:num>
  <w:num w:numId="102">
    <w:abstractNumId w:val="134"/>
  </w:num>
  <w:num w:numId="103">
    <w:abstractNumId w:val="134"/>
  </w:num>
  <w:num w:numId="104">
    <w:abstractNumId w:val="134"/>
  </w:num>
  <w:num w:numId="105">
    <w:abstractNumId w:val="11"/>
  </w:num>
  <w:num w:numId="106">
    <w:abstractNumId w:val="134"/>
  </w:num>
  <w:num w:numId="107">
    <w:abstractNumId w:val="60"/>
  </w:num>
  <w:num w:numId="108">
    <w:abstractNumId w:val="49"/>
  </w:num>
  <w:num w:numId="109">
    <w:abstractNumId w:val="62"/>
  </w:num>
  <w:num w:numId="110">
    <w:abstractNumId w:val="34"/>
  </w:num>
  <w:num w:numId="111">
    <w:abstractNumId w:val="1"/>
  </w:num>
  <w:num w:numId="112">
    <w:abstractNumId w:val="10"/>
  </w:num>
  <w:num w:numId="113">
    <w:abstractNumId w:val="131"/>
  </w:num>
  <w:num w:numId="114">
    <w:abstractNumId w:val="122"/>
  </w:num>
  <w:num w:numId="115">
    <w:abstractNumId w:val="77"/>
  </w:num>
  <w:num w:numId="116">
    <w:abstractNumId w:val="59"/>
  </w:num>
  <w:num w:numId="117">
    <w:abstractNumId w:val="7"/>
  </w:num>
  <w:num w:numId="118">
    <w:abstractNumId w:val="75"/>
  </w:num>
  <w:num w:numId="119">
    <w:abstractNumId w:val="39"/>
  </w:num>
  <w:num w:numId="120">
    <w:abstractNumId w:val="150"/>
  </w:num>
  <w:num w:numId="121">
    <w:abstractNumId w:val="85"/>
  </w:num>
  <w:num w:numId="122">
    <w:abstractNumId w:val="14"/>
  </w:num>
  <w:num w:numId="123">
    <w:abstractNumId w:val="17"/>
  </w:num>
  <w:num w:numId="124">
    <w:abstractNumId w:val="120"/>
  </w:num>
  <w:num w:numId="125">
    <w:abstractNumId w:val="140"/>
  </w:num>
  <w:num w:numId="126">
    <w:abstractNumId w:val="68"/>
  </w:num>
  <w:num w:numId="127">
    <w:abstractNumId w:val="94"/>
  </w:num>
  <w:num w:numId="128">
    <w:abstractNumId w:val="106"/>
  </w:num>
  <w:num w:numId="129">
    <w:abstractNumId w:val="47"/>
  </w:num>
  <w:num w:numId="130">
    <w:abstractNumId w:val="52"/>
  </w:num>
  <w:num w:numId="131">
    <w:abstractNumId w:val="64"/>
  </w:num>
  <w:num w:numId="132">
    <w:abstractNumId w:val="148"/>
  </w:num>
  <w:num w:numId="133">
    <w:abstractNumId w:val="87"/>
  </w:num>
  <w:num w:numId="134">
    <w:abstractNumId w:val="134"/>
  </w:num>
  <w:num w:numId="135">
    <w:abstractNumId w:val="134"/>
  </w:num>
  <w:num w:numId="136">
    <w:abstractNumId w:val="119"/>
  </w:num>
  <w:num w:numId="137">
    <w:abstractNumId w:val="41"/>
  </w:num>
  <w:num w:numId="138">
    <w:abstractNumId w:val="48"/>
  </w:num>
  <w:num w:numId="139">
    <w:abstractNumId w:val="2"/>
  </w:num>
  <w:num w:numId="140">
    <w:abstractNumId w:val="101"/>
  </w:num>
  <w:num w:numId="141">
    <w:abstractNumId w:val="45"/>
  </w:num>
  <w:num w:numId="142">
    <w:abstractNumId w:val="27"/>
  </w:num>
  <w:num w:numId="143">
    <w:abstractNumId w:val="12"/>
  </w:num>
  <w:num w:numId="144">
    <w:abstractNumId w:val="21"/>
  </w:num>
  <w:num w:numId="145">
    <w:abstractNumId w:val="146"/>
  </w:num>
  <w:num w:numId="146">
    <w:abstractNumId w:val="143"/>
  </w:num>
  <w:num w:numId="147">
    <w:abstractNumId w:val="129"/>
  </w:num>
  <w:num w:numId="148">
    <w:abstractNumId w:val="132"/>
  </w:num>
  <w:num w:numId="149">
    <w:abstractNumId w:val="29"/>
  </w:num>
  <w:num w:numId="150">
    <w:abstractNumId w:val="53"/>
  </w:num>
  <w:num w:numId="151">
    <w:abstractNumId w:val="84"/>
  </w:num>
  <w:num w:numId="152">
    <w:abstractNumId w:val="107"/>
  </w:num>
  <w:num w:numId="153">
    <w:abstractNumId w:val="78"/>
  </w:num>
  <w:num w:numId="154">
    <w:abstractNumId w:val="35"/>
  </w:num>
  <w:num w:numId="155">
    <w:abstractNumId w:val="15"/>
  </w:num>
  <w:num w:numId="156">
    <w:abstractNumId w:val="36"/>
  </w:num>
  <w:num w:numId="157">
    <w:abstractNumId w:val="43"/>
  </w:num>
  <w:num w:numId="158">
    <w:abstractNumId w:val="1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618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78C"/>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0B6"/>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092"/>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1CC"/>
    <w:rsid w:val="00231213"/>
    <w:rsid w:val="00232666"/>
    <w:rsid w:val="00232DB4"/>
    <w:rsid w:val="0023368C"/>
    <w:rsid w:val="00233738"/>
    <w:rsid w:val="00233EAE"/>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14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0F47"/>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01D8"/>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513D"/>
    <w:rsid w:val="004160CD"/>
    <w:rsid w:val="00416358"/>
    <w:rsid w:val="00416A9A"/>
    <w:rsid w:val="00416C45"/>
    <w:rsid w:val="0042031F"/>
    <w:rsid w:val="00420972"/>
    <w:rsid w:val="004213A3"/>
    <w:rsid w:val="00421A95"/>
    <w:rsid w:val="00422444"/>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0CC"/>
    <w:rsid w:val="004416A0"/>
    <w:rsid w:val="004417C3"/>
    <w:rsid w:val="004425CF"/>
    <w:rsid w:val="00442757"/>
    <w:rsid w:val="004430FD"/>
    <w:rsid w:val="004445FB"/>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115"/>
    <w:rsid w:val="00482633"/>
    <w:rsid w:val="004832F9"/>
    <w:rsid w:val="004849BA"/>
    <w:rsid w:val="00484E4C"/>
    <w:rsid w:val="00484F06"/>
    <w:rsid w:val="00484F0C"/>
    <w:rsid w:val="0048559F"/>
    <w:rsid w:val="00486031"/>
    <w:rsid w:val="004866F7"/>
    <w:rsid w:val="00487BFA"/>
    <w:rsid w:val="004900A3"/>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589D"/>
    <w:rsid w:val="00536A35"/>
    <w:rsid w:val="00537C90"/>
    <w:rsid w:val="00537C95"/>
    <w:rsid w:val="00540534"/>
    <w:rsid w:val="00540B91"/>
    <w:rsid w:val="00540F0E"/>
    <w:rsid w:val="00541B25"/>
    <w:rsid w:val="00541DE7"/>
    <w:rsid w:val="00541F14"/>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3AD"/>
    <w:rsid w:val="00580F3A"/>
    <w:rsid w:val="00581342"/>
    <w:rsid w:val="00583274"/>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568"/>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21F"/>
    <w:rsid w:val="00643EEC"/>
    <w:rsid w:val="006440A7"/>
    <w:rsid w:val="00645B90"/>
    <w:rsid w:val="00646752"/>
    <w:rsid w:val="00647629"/>
    <w:rsid w:val="00650012"/>
    <w:rsid w:val="006502E8"/>
    <w:rsid w:val="0065055F"/>
    <w:rsid w:val="00652CEA"/>
    <w:rsid w:val="006550EE"/>
    <w:rsid w:val="0065554C"/>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060"/>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7A8"/>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4B85"/>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EDB"/>
    <w:rsid w:val="00867894"/>
    <w:rsid w:val="00867F8A"/>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40E"/>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68"/>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27CE9"/>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84C"/>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5C06"/>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D75BD"/>
    <w:rsid w:val="009E01BB"/>
    <w:rsid w:val="009E0804"/>
    <w:rsid w:val="009E2BB3"/>
    <w:rsid w:val="009E4E0D"/>
    <w:rsid w:val="009E54D8"/>
    <w:rsid w:val="009E55CD"/>
    <w:rsid w:val="009E5688"/>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38C2"/>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53E"/>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5FF"/>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064"/>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A6E"/>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2AB"/>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57FA4"/>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58DF"/>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386"/>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5F33"/>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57"/>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D03"/>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03C"/>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2DE4"/>
    <w:rsid w:val="00C837C2"/>
    <w:rsid w:val="00C84BE0"/>
    <w:rsid w:val="00C84E2F"/>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2C2"/>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6"/>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24D"/>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2E9B"/>
    <w:rsid w:val="00E231EE"/>
    <w:rsid w:val="00E241C6"/>
    <w:rsid w:val="00E24781"/>
    <w:rsid w:val="00E247E3"/>
    <w:rsid w:val="00E25054"/>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2475"/>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C27"/>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8CF"/>
    <w:rsid w:val="00F23948"/>
    <w:rsid w:val="00F24101"/>
    <w:rsid w:val="00F24C3C"/>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210"/>
    <w:rsid w:val="00F55434"/>
    <w:rsid w:val="00F55644"/>
    <w:rsid w:val="00F55A14"/>
    <w:rsid w:val="00F56343"/>
    <w:rsid w:val="00F56D59"/>
    <w:rsid w:val="00F56EC7"/>
    <w:rsid w:val="00F572E5"/>
    <w:rsid w:val="00F57372"/>
    <w:rsid w:val="00F606BF"/>
    <w:rsid w:val="00F6099D"/>
    <w:rsid w:val="00F60ECD"/>
    <w:rsid w:val="00F6104C"/>
    <w:rsid w:val="00F615BE"/>
    <w:rsid w:val="00F62487"/>
    <w:rsid w:val="00F63950"/>
    <w:rsid w:val="00F649C6"/>
    <w:rsid w:val="00F665EF"/>
    <w:rsid w:val="00F66AB8"/>
    <w:rsid w:val="00F66CE2"/>
    <w:rsid w:val="00F7028A"/>
    <w:rsid w:val="00F70FD7"/>
    <w:rsid w:val="00F71A5D"/>
    <w:rsid w:val="00F726BE"/>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AA0"/>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3EBF"/>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D7A26"/>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450"/>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15AE"/>
  <w15:docId w15:val="{F50DAFFB-DACD-4876-BD51-A65DFCD7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2AB"/>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0C0F-EC02-46E8-80CE-67CAAA29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14406</Words>
  <Characters>86439</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Piotrowska</dc:creator>
  <cp:lastModifiedBy>Anet</cp:lastModifiedBy>
  <cp:revision>9</cp:revision>
  <cp:lastPrinted>2019-06-18T07:39:00Z</cp:lastPrinted>
  <dcterms:created xsi:type="dcterms:W3CDTF">2020-07-31T12:59:00Z</dcterms:created>
  <dcterms:modified xsi:type="dcterms:W3CDTF">2020-08-17T09:00:00Z</dcterms:modified>
</cp:coreProperties>
</file>